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Hamm, Beschluss vom 21.12.2023 – 7 U 137/23</w:t>
      </w:r>
    </w:p>
    <w:p>
      <w:r>
        <w:rPr>
          <w:color w:val="555555"/>
          <w:sz w:val="18"/>
        </w:rPr>
        <w:t xml:space="preserve">ECLI:DE:OLGHAM:2023:1221.7U137.23.00</w:t>
      </w:r>
    </w:p>
    <w:p>
      <w:pPr>
        <w:pStyle w:val="Heading2"/>
      </w:pPr>
      <w:r>
        <w:t xml:space="preserve">Tenor</w:t>
      </w:r>
    </w:p>
    <w:p>
      <w:r>
        <w:t xml:space="preserve">Die Berufung des Klägers gegen das am 24.08.2023 verkündete Urteil der Einzelrichterin der 24. Zivilkammer des Landgerichts Dortmund (24 O 139/22) wird zurückgewiesen.</w:t>
      </w:r>
    </w:p>
    <w:p>
      <w:r>
        <w:t xml:space="preserve">Die Kosten des Rechtsmittels trägt der Kläger.</w:t>
      </w:r>
    </w:p>
    <w:p>
      <w:r>
        <w:t xml:space="preserve">Dieser Beschluss und das angefochtene Urteil sind ohne Sicherheitsleistung vorläufig vollstreckbar.</w:t>
      </w:r>
    </w:p>
    <w:p>
      <w:r>
        <w:t xml:space="preserve">Der Streitwert für das Berufungsverfahren wird auf 3.000,00 EUR festgesetzt. Der Streitwert für das erstinstanzliche Verfahren wird unter Abänderung der erstinstanzlichen Streitwertfestsetzung im angefochtenen Urteil (eGA I-1772) ebenfalls auf 3.000,00 EUR festgesetzt.</w:t>
      </w:r>
    </w:p>
    <w:p>
      <w:pPr>
        <w:pStyle w:val="Heading2"/>
      </w:pPr>
      <w:r>
        <w:t xml:space="preserve">Gründe</w:t>
      </w:r>
    </w:p>
    <w:p>
      <w:r>
        <w:rPr>
          <w:b/>
        </w:rPr>
        <w:t xml:space="preserve">Rn. 2</w:t>
      </w:r>
    </w:p>
    <w:p>
      <w:r>
        <w:t xml:space="preserve">Der Beschluss ergeht gemäß § 522 Abs. 2 ZPO.</w:t>
      </w:r>
    </w:p>
    <w:p>
      <w:r>
        <w:rPr>
          <w:b/>
        </w:rPr>
        <w:t xml:space="preserve">Rn. 3</w:t>
      </w:r>
    </w:p>
    <w:p>
      <w:r>
        <w:t xml:space="preserve">Zur Begründung wird zunächst auf den Hinweisbeschluss vom 14.11.2023 Bezug genommen. Eine Stellungnahme des Klägers hierzu ist nicht erfolgt. Infolgedessen sieht sich der Senat lediglich mit Blick auf die zwischenzeitlich ergangene Entscheidung des OLG Stuttgart vom 22.11.2023 (4 U 20/23, veröffentlicht in juris und beck-online GRUR-RS 2023, 32883) sowie das Urteil des EuGH vom 14.12.2023 (C-340/21, BeckRS 2023, 35786) zu folgenden Ergänzungen veranlasst:</w:t>
      </w:r>
    </w:p>
    <w:p>
      <w:r>
        <w:rPr>
          <w:b/>
        </w:rPr>
        <w:t xml:space="preserve">Rn. 4</w:t>
      </w:r>
    </w:p>
    <w:p>
      <w:r>
        <w:t xml:space="preserve">Beide Entscheidungen verlangen im vorliegenden Einzelfall weder in der Sache eine andere Entscheidung noch eine Abkehr vom Vorgehen nach § 522 Abs. 2 Satz 1 ZPO. Im Einzelnen:</w:t>
      </w:r>
    </w:p>
    <w:p>
      <w:r>
        <w:rPr>
          <w:b/>
        </w:rPr>
        <w:t xml:space="preserve">Rn. 5</w:t>
      </w:r>
    </w:p>
    <w:p>
      <w:r>
        <w:t xml:space="preserve">I.</w:t>
      </w:r>
    </w:p>
    <w:p>
      <w:r>
        <w:rPr>
          <w:b/>
        </w:rPr>
        <w:t xml:space="preserve">Rn. 6</w:t>
      </w:r>
    </w:p>
    <w:p>
      <w:r>
        <w:t xml:space="preserve">Die Voraussetzungen des § 522 Abs. 2 Satz 1 ZPO liegen vor.</w:t>
      </w:r>
    </w:p>
    <w:p>
      <w:r>
        <w:rPr>
          <w:b/>
        </w:rPr>
        <w:t xml:space="preserve">Rn. 7</w:t>
      </w:r>
    </w:p>
    <w:p>
      <w:r>
        <w:t xml:space="preserve">1. Die Berufung hat offensichtlich keine Aussicht auf Erfolg (§ 522 Abs. 2 Satz 1 Nr. 1 ZPO).</w:t>
      </w:r>
    </w:p>
    <w:p>
      <w:r>
        <w:rPr>
          <w:b/>
        </w:rPr>
        <w:t xml:space="preserve">Rn. 8</w:t>
      </w:r>
    </w:p>
    <w:p>
      <w:r>
        <w:t xml:space="preserve">Mit Blick auf den vorliegend fehlenden kausalen immateriellen Schaden folgen die Ausführungen im Hinweisbeschluss des Senats der Rechtsprechung des EuGH (Urt. v. 14.12.2023 – C-340/21, BeckRS 2023, 35786 Rn. 84, 85). Danach hat der Kläger als Person, die von einem Verstoß gegen die DSGVO betroffen ist, der für sie negative Folgen gehabt hat, nachzuweisen, dass diese Folgen einen immateriellen Schaden im Sinne von Art. 82 DSGVO darstellen. Dem folgend sieht der Senat somit den Kläger zutreffend in der Pflicht, den Indizienbeweis zum Eintritt eines kausalen immateriellen Schadens zu führen. Indem der Senat sich mit den vom Kläger dargelegten Indizien befasst und diese (hier als nicht den Eintritt eines kausalen immateriellen Schadens tragend) würdigt, setzt der Senat schlicht die weitere Vorgabe des EuGH um; denn danach ist das angerufene nationale Gericht, wenn sich eine Person auf die Befürchtung beruft, dass ihre personenbezogenen Daten in Zukunft aufgrund eines solchen Verstoßes missbräuchlich verwendet werden, gehalten zu prüfen, ob diese Befürchtung unter den gegebenen besonderen Umständen und im Hinblick auf die betroffene Person als begründet angesehen werden kann.</w:t>
      </w:r>
    </w:p>
    <w:p>
      <w:r>
        <w:rPr>
          <w:b/>
        </w:rPr>
        <w:t xml:space="preserve">Rn. 9</w:t>
      </w:r>
    </w:p>
    <w:p>
      <w:r>
        <w:t xml:space="preserve">2. Die Sache hat auch keine grundsätzliche Bedeutung (§ 522 Abs. 2 Satz 1 Nr. 2 ZPO). Ebenso wenig ist eine Entscheidung des BGH zur Fortbildung des Rechts oder zur Sicherung einer einheitlichen Rechtsprechung erforderlich (§ 522 Abs. 2 Satz 1 Nr. 3 ZPO); denn die im vorliegenden Rechtsstreit entscheidungserheblichen Rechtsfragen sind durch die Rechtsprechung des EuGH und des BGH hinreichend geklärt und im Übrigen solche des Einzelfalls.</w:t>
      </w:r>
    </w:p>
    <w:p>
      <w:r>
        <w:rPr>
          <w:b/>
        </w:rPr>
        <w:t xml:space="preserve">Rn. 10</w:t>
      </w:r>
    </w:p>
    <w:p>
      <w:r>
        <w:t xml:space="preserve">a) Mit Blick auf das Tatbestandsmerkmal „Eintritt eines kausalen immateriellen Schadens“ im Sinne des Art. 82 Abs. 1 DSGVO bietet der vorliegende Einzelfall keinen Anhaltspunkt für die Annahme einer weiteren klärungsbedürftigen und klärungsfähigen Rechtsfrage; vielmehr ist die streitgegenständliche Rechtsfrage zur fehlenden Qualität der negativen Folge eines bloßen Kontrollverlusts als immaterieller Schaden durch die aufgezeigten aktuellen Entscheidungen des EuGH geklärt. Die Vorlagefrage 4 aus dem Beschluss des BGH vom 26.09.2023 (VI ZR 97/22) betrifft eine andere Konstellation (vgl. hierzu i.E. Senat Beschl. v. 18.10.2023 – I-7 U 77/23, BeckRS 2023, 32741 Rn. 4).</w:t>
      </w:r>
    </w:p>
    <w:p>
      <w:r>
        <w:rPr>
          <w:b/>
        </w:rPr>
        <w:t xml:space="preserve">Rn. 11</w:t>
      </w:r>
    </w:p>
    <w:p>
      <w:r>
        <w:t xml:space="preserve">b) Soweit das OLG Stuttgart (Urt. v. 22.11.2023 - 4 U 20/23, GRUR-RS 2023, 32883, Rn. 89 ff., 257 ff.) von der hiesigen Senatsrechtsprechung abweichend den dortigen und hiesigen Antrag zu 2. auf Feststellung der Ersatzpflicht der Beklagten für künftige materielle und immaterielle Schäden als zulässig und begründet ansieht, folgt aus dieser (vermeintlichen) Divergenz obergerichtlicher Entscheidungen kein Bedarf einer Klärung durch den BGH.</w:t>
      </w:r>
    </w:p>
    <w:p>
      <w:r>
        <w:rPr>
          <w:b/>
        </w:rPr>
        <w:t xml:space="preserve">Rn. 12</w:t>
      </w:r>
    </w:p>
    <w:p>
      <w:r>
        <w:t xml:space="preserve">Klärungsbedürftig und damit von grundsätzlicher Bedeutung ist nur eine entscheidungserhebliche Rechtsfrage und auch nur dann, wenn ihre Beantwortung zweifelhaft ist oder wenn zu ihr unterschiedliche Auffassungen vertreten werden und die Frage höchstrichterlich noch nicht geklärt ist (vgl. BGH Beschl. v. 6.3.2019 – IV ZR 108/18, Rn. 13).</w:t>
      </w:r>
    </w:p>
    <w:p>
      <w:r>
        <w:rPr>
          <w:b/>
        </w:rPr>
        <w:t xml:space="preserve">Rn. 13</w:t>
      </w:r>
    </w:p>
    <w:p>
      <w:r>
        <w:t xml:space="preserve">An einer grundsätzlichen Bedeutung in diesem Sinne fehlt es zunächst deshalb, weil das OLG Stuttgart (Urt. v. 22.11.2023 - 4 U 20/23, GRUR-RS 2023, 32883, Rn. 81) und der Senat (vgl. hierzu i.E. Senat Urt. v. 15.8.2023 – 7 U 19/23, GRUR-RS 2023, 22505 Rn. 191 ff.) übereinstimmend in rechtlicher Hinsicht die höchstrichterliche Rechtsprechung zugrunde legen, wonach für Schäden, die aus der behaupteten Verletzung des allgemeinen Persönlichkeitsrechts, also eines sonstigen absolut geschützten Rechtsguts im Sinne von § 823 Abs. 1 BGB, resultieren, bereits die Möglichkeit materieller oder weiterer immaterieller Schäden für die Annahme eines Feststellungsinteresses ausreicht.</w:t>
      </w:r>
    </w:p>
    <w:p>
      <w:r>
        <w:rPr>
          <w:b/>
        </w:rPr>
        <w:t xml:space="preserve">Rn. 14</w:t>
      </w:r>
    </w:p>
    <w:p>
      <w:r>
        <w:t xml:space="preserve">Eine Divergenz in den obergerichtlichen Entscheidungen besteht lediglich insoweit, als das OLG Stuttgart anders als der Senat im Zuge der Subsumtion nicht auf den zu entscheidenden Einzelfall abstellt, sondern apodiktisch ohne die Betrachtung der Umstände des konkreten Einzelfalls die abstrakte, theoretische Möglichkeit eines (materiellen und immateriellen) Schadenseintritts für ausreichend erachtet.</w:t>
      </w:r>
    </w:p>
    <w:p>
      <w:r>
        <w:rPr>
          <w:b/>
        </w:rPr>
        <w:t xml:space="preserve">Rn. 15</w:t>
      </w:r>
    </w:p>
    <w:p>
      <w:r>
        <w:t xml:space="preserve">Dies rechtfertigt es jedoch nicht, eine grundsätzliche Bedeutung anzunehmen; denn durch die gefestigte Rechtsprechung des BGH (vgl. nur BGH Urt. v. 5.10.2021 – VI ZR 136/20, NJW-RR 2022, 23 Rn. 28 m.w.N.) ist bereits höchstrichterlich geklärt, dass die Frage der Möglichkeit eines Schadenseintritts gerade nicht abstrakt, sondern aus der Sicht des konkret Geschädigten in verständiger Würdigung zu beurteilen ist. Dem folgt der Senat in Achtung der zugrundeliegenden Intention, der Beklagtenpartei keinen Rechtsstreit über nur theoretische Fragen aufzuzwingen, in ständiger Rechtsprechung (vgl. Senat Urt. v. 15.8.2023 – 7 U 19/23, GRUR-RS 2023, 22505 Rn. 194 m.w.N.). Dies mag das OLG Stuttgart (Urt. v. 22.11.2023 - 4 U 20/23, GRUR-RS 2023, 32883, Rn. 93 f.) verkannt haben. Eine solche vereinzelte, nicht nachvollziehbar begründete Entscheidung zwingt den Senat jedenfalls nicht zur Zulassung der Revision und damit zugleich zur Abkehr vom Verfahren nach § 522 Abs. 2 ZPO (vgl. dazu BGH Beschl. v. 6.3.2019 - IV ZR 108/18, r+s 2019, 272 Rn. 14; BGH Beschl. v. 8.2.2010 - II ZR 156/09, NJW-RR 2010, 978 Rn. 3; BGH Beschl. v. 27.11.2013 - VII ZR 371/12, NJW 2014, 456 Rn. 9).</w:t>
      </w:r>
    </w:p>
    <w:p>
      <w:r>
        <w:rPr>
          <w:b/>
        </w:rPr>
        <w:t xml:space="preserve">Rn. 16</w:t>
      </w:r>
    </w:p>
    <w:p>
      <w:r>
        <w:t xml:space="preserve">Mit Blick darauf ist auch eine Entscheidung des BGH zur Fortbildung des Rechts nicht geboten. Ebenso wenig liegt eine tragende Rechtssatzabweichung von der Rechtsprechung eines höher- oder gleichrangigen anderen Gerichts vor, die eine höchstrichterliche Entscheidung zur Sicherung einer einheitlichen Rechtsprechung erforderte (vgl. hierzu BGH Beschl. v. 6.3.2019 - IV ZR 108/18, r+s 2019, 272 Rn. 15).</w:t>
      </w:r>
    </w:p>
    <w:p>
      <w:r>
        <w:rPr>
          <w:b/>
        </w:rPr>
        <w:t xml:space="preserve">Rn. 17</w:t>
      </w:r>
    </w:p>
    <w:p>
      <w:r>
        <w:t xml:space="preserve">c. Entsprechendes gilt insoweit, als das OLG Stuttgart (Urt. v. 22.11.2023 – 4 U 20/23, GRUR-RS 2023, 32883 Rn. 98 ff. und 272) anders als der Senat (Urt. v. 15.8.2023 – 7 U 19/23, GRUR-RS 2023, 22505 Rn. 203 ff.) die Unterlassungsanträge als zulässig erachtet und mit Blick darauf, dass in der Sache über die Unterlassungsansprüche letztlich doch die Implementierung bestimmter Sicherheitsmaßnahmen und damit im Ergebnis eine Leistung verlangt werde, erst die Begründetheit verneint; denn das OLG Stuttgart setzt sich in keiner Weise mit den Ausführungen des Senats zur Unzulässigkeit der beiden Unterlassungsanträge, die auf entsprechender Rechtsprechung des BGH fußen, auseinander. Infolgedessen lassen sich über den jeweiligen Einzelfall hinaus schon keine (weiteren) Unklarheiten in der höchstrichterlichen Rechtsprechung, die eine zusätzliche Klärung durch den BGH erforderten (vgl. hierzu BGH Beschl. v. 8.2.2010 - II ZR 156/09, NJW-RR 2010, 978 Rn. 3; BGH Beschl. v. 27.11.2013 - VII ZR 371/12, NJW 2014, 456 Rn. 9), feststellen.</w:t>
      </w:r>
    </w:p>
    <w:p>
      <w:r>
        <w:rPr>
          <w:b/>
        </w:rPr>
        <w:t xml:space="preserve">Rn. 18</w:t>
      </w:r>
    </w:p>
    <w:p>
      <w:r>
        <w:t xml:space="preserve">d. Allein die Vielzahl bundesweit anhängiger gleichgerichteter Rechtsstreite vermag vor dem Hintergrund, dass die entscheidungserheblichen Rechtsfragen sämtlich durch EuGH und BGH geklärt sind, dem Einzelfall keine grundsätzliche Bedeutung zu verleihen.</w:t>
      </w:r>
    </w:p>
    <w:p>
      <w:r>
        <w:rPr>
          <w:b/>
        </w:rPr>
        <w:t xml:space="preserve">Rn. 19</w:t>
      </w:r>
    </w:p>
    <w:p>
      <w:r>
        <w:t xml:space="preserve">3. Auch die Durchführung einer mündlichen Verhandlung (§ 522 Abs. 2 Satz 1 Nr. 4 ZPO) ist nicht geboten. Es wird insoweit auf die Ausführungen im Hinweisbeschluss vom 24.11.2023 (Bl. 149 ff. der zweitinstanzlichen elektronischen Gerichtsakte) Bezug genommen.</w:t>
      </w:r>
    </w:p>
    <w:p>
      <w:r>
        <w:rPr>
          <w:b/>
        </w:rPr>
        <w:t xml:space="preserve">Rn. 20</w:t>
      </w:r>
    </w:p>
    <w:p>
      <w:r>
        <w:t xml:space="preserve">II.</w:t>
      </w:r>
    </w:p>
    <w:p>
      <w:r>
        <w:rPr>
          <w:b/>
        </w:rPr>
        <w:t xml:space="preserve">Rn. 21</w:t>
      </w:r>
    </w:p>
    <w:p>
      <w:r>
        <w:t xml:space="preserve">Die Kostenentscheidung beruht auf § 97 Abs. 1 ZPO; die Entscheidung über die vorläufige Vollstreckbarkeit folgt aus § 544 Abs. 2, § 708 Nr. 10, § 713 ZPO.</w:t>
      </w:r>
    </w:p>
    <w:p>
      <w:r>
        <w:rPr>
          <w:b/>
        </w:rPr>
        <w:t xml:space="preserve">Rn. 22</w:t>
      </w:r>
    </w:p>
    <w:p>
      <w:r>
        <w:t xml:space="preserve">III.</w:t>
      </w:r>
    </w:p>
    <w:p>
      <w:r>
        <w:rPr>
          <w:b/>
        </w:rPr>
        <w:t xml:space="preserve">Rn. 23</w:t>
      </w:r>
    </w:p>
    <w:p>
      <w:r>
        <w:t xml:space="preserve">Aus dem Umstand, dass das OLG Stuttgart im Tenor seines Urteils (v. 22.11.2023 – 4 U 20/23, GRUR-RS 2023, 32883) ohne weitere Begründung in seinem Einzelfall den Streitwert für das Berufungsverfahren auf 7.000,00 EUR festgesetzt hat, ergibt sich für den Senat für den vorliegenden Einzelfall kein Grund von seiner Praxis zur Streitwertfestsetzung abzuweichen. Auch insoweit orientiert sich der Senat an ständiger Rechtsprechung des BGH (Senat Urt. v. 15.8.2023 – 7 U 19/23, GRUR-RS 2023, 22505 Rn. 254 ff.).</w:t>
      </w:r>
    </w:p>
    <w:p>
      <w:r>
        <w:rPr>
          <w:color w:val="555555"/>
          <w:sz w:val="17"/>
        </w:rPr>
        <w:t xml:space="preserve">Zitiervorschlag: Oberlandesgericht Hamm, Beschluss vom 21.12.2023 – 7 U 137/23, ECLI:DE:OLGHAM:2023:1221.7U137.23.00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https://recht.nulegal.eu/rechtsprechung/olg-hamm/2023-12-21/7-u-137-23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