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Itzehoe, Urteil vom 24.05.2012 – 7 O 301/11</w:t>
      </w:r>
    </w:p>
    <w:p>
      <w:r>
        <w:rPr>
          <w:color w:val="555555"/>
          <w:sz w:val="18"/>
        </w:rPr>
        <w:t xml:space="preserve">ECLI:DE:LGITZEH:2012:0524.7O301.11.0A</w:t>
      </w:r>
    </w:p>
    <w:p>
      <w:pPr>
        <w:pStyle w:val="Heading2"/>
      </w:pPr>
      <w:r>
        <w:t xml:space="preserve">Tenor</w:t>
      </w:r>
    </w:p>
    <w:p>
      <w:r>
        <w:t xml:space="preserve">1. Die Klage wird abgewiesen.</w:t>
      </w:r>
    </w:p>
    <w:p>
      <w:r>
        <w:t xml:space="preserve">2. Die Klägerin trägt die Kosten des Rechtsstreits.</w:t>
      </w:r>
    </w:p>
    <w:p>
      <w:r>
        <w:t xml:space="preserve">3. Das Urteil ist vorläufig vollstreckbar. Die Klägerin kann die Vollstreckung durch Sicherheitsleistung in Höhe des vollstreckbaren Betrages abwenden, wenn nicht der Beklagte vor der Vollstreckung Sicherheit in Höhe von 120 % des jeweils zu vollstreckenden Betrages leistet.</w:t>
      </w:r>
    </w:p>
    <w:p>
      <w:pPr>
        <w:pStyle w:val="Heading2"/>
      </w:pPr>
      <w:r>
        <w:t xml:space="preserve">Tatbestand</w:t>
      </w:r>
    </w:p>
    <w:p>
      <w:r>
        <w:rPr>
          <w:b/>
        </w:rPr>
        <w:t xml:space="preserve">Rn. 1</w:t>
      </w:r>
    </w:p>
    <w:p>
      <w:r>
        <w:t xml:space="preserve">Die Klägerin macht Ansprüche aus einem Darlehensvertrag zur Finanzierung eines Pkw verbunden mit dem Kaufvertrag bezüglich eines Pkw geltend.</w:t>
      </w:r>
    </w:p>
    <w:p>
      <w:r>
        <w:rPr>
          <w:b/>
        </w:rPr>
        <w:t xml:space="preserve">Rn. 2</w:t>
      </w:r>
    </w:p>
    <w:p>
      <w:r>
        <w:t xml:space="preserve">Die Klägerin hat im Mai 2008 mit dem Beklagten einen Darlehensvertrag über eine Darlehenssumme von 25.060,70 € geschlossen zur Finanzierung des Erwerbs eines Pkw. Das Darlehen sollte in 36 monatlichen Raten zurückgezahlt werden. Der Darlehensvertrag sah daneben eine Restschuldversicherung von 628,80 € sowie eine Bearbeitungsgebühr von 2 %, entsprechend 448,58 € vor. Nach den Darlehensbedingungen sollte die Klägerin zur Kündigung berechtigt sein, wenn die vereinbarten Sicherheiten weggefallen sind, z. B. Untergang des Fahrzeuges, es sei denn, der Darlehensnehmer leistet auf Anforderung der Bank anderweitig angemessene Sicherheit.</w:t>
      </w:r>
    </w:p>
    <w:p>
      <w:r>
        <w:rPr>
          <w:b/>
        </w:rPr>
        <w:t xml:space="preserve">Rn. 3</w:t>
      </w:r>
    </w:p>
    <w:p>
      <w:r>
        <w:t xml:space="preserve">In den Allgemeinen Darlehensbedingungen heißt es unter Ziffer 7.1 u. a.:</w:t>
      </w:r>
    </w:p>
    <w:p>
      <w:r>
        <w:rPr>
          <w:b/>
        </w:rPr>
        <w:t xml:space="preserve">Rn. 4</w:t>
      </w:r>
    </w:p>
    <w:p>
      <w:r>
        <w:t xml:space="preserve">Bei Eintritt der vorzeitigen Fälligkeit des Darlehens oder Kündigung kann die Bank das sicherungsübereignete Fahrzeug an sich nehmen und im eigenen Namen verwerten. Die Verwertung wird durchgeführt, nachdem sie dem Darlehensnehmer unter 14-tägiger Fristsetzung angedroht wurde und wenn nicht innerhalb von 14 Tagen nach Inbesitznahme sämtliche Forderungen der Bank aus dem Darlehensvertrag getilgt sind. Die Bank ist berechtigt, die Verwertung durch Verkauf an eine Händlerfirma zum Händlereinkaufswert ohne Mehrwertsteuer vorzunehmen, es sei denn, der Darlehensnehmer benennt der Bank unverzüglich nach Rücknahme des Fahrzeuges einen anderen Abnehmer, der das Fahrzeug zu einem höheren Erlös abzunehmen bereit ist.</w:t>
      </w:r>
    </w:p>
    <w:p>
      <w:r>
        <w:rPr>
          <w:b/>
        </w:rPr>
        <w:t xml:space="preserve">Rn. 5</w:t>
      </w:r>
    </w:p>
    <w:p>
      <w:r>
        <w:t xml:space="preserve">Zu den weiteren Einzelheiten des Vertrags wird Bezug genommen auf die Anlagen K 1 und K 3.</w:t>
      </w:r>
    </w:p>
    <w:p>
      <w:r>
        <w:rPr>
          <w:b/>
        </w:rPr>
        <w:t xml:space="preserve">Rn. 6</w:t>
      </w:r>
    </w:p>
    <w:p>
      <w:r>
        <w:t xml:space="preserve">Nachdem das Fahrzeug am 07.04.2010 einen Unfall mit Totalschaden erlitten hatte, kündigte die Klägerin mit Einschreiben vom 18.06.2010 das Darlehen fristlos wegen Sicherheitenwegfalls und forderte den Beklagten zur Zahlung des um die von ihr errechnete Zinsvergütung verminderten Restsaldos auf, den sie mit 17.116,40 € bezifferte. Im Zeitraum Juli 2010 bis einschließlich September 2010 erfolgten Teilzahlungen zu Gunsten des Beklagten in Höhe von insgesamt 11.026,17 €, die die Klägerin auf die von ihr errechnete Restforderung verrechnet hat. In der Folgezeit ließ die Klägerin das Fahrzeug beim Beklagten zum Zwecke der Verwertung abholen und den Wert schätzen. Die Schätzung ergab einen Einkaufswert von 7.120,00 € einschließlich der gegebenenfalls vom Veräußerer zu entrichtende Mehrwertsteuer. Die Klägerin hat das Fahrzeug sodann für diesen Preis an einen Händler veräußert.</w:t>
      </w:r>
    </w:p>
    <w:p>
      <w:r>
        <w:rPr>
          <w:b/>
        </w:rPr>
        <w:t xml:space="preserve">Rn. 7</w:t>
      </w:r>
    </w:p>
    <w:p>
      <w:r>
        <w:t xml:space="preserve">Mit der Klage macht die Klägerin die von ihr errechnete Restforderung, zuzüglich Kosten der Verwertung und Schätzung bezüglich des Verkaufserlöses geltend.</w:t>
      </w:r>
    </w:p>
    <w:p>
      <w:r>
        <w:rPr>
          <w:b/>
        </w:rPr>
        <w:t xml:space="preserve">Rn. 8</w:t>
      </w:r>
    </w:p>
    <w:p>
      <w:r>
        <w:t xml:space="preserve">Nach Hinweis des Gerichts im Hinblick auf Bedenken gegen die Klagforderung hat die Klägerin unter Klagrücknahme im Übrigen beantragt,</w:t>
      </w:r>
    </w:p>
    <w:p>
      <w:r>
        <w:rPr>
          <w:b/>
        </w:rPr>
        <w:t xml:space="preserve">Rn. 9</w:t>
      </w:r>
    </w:p>
    <w:p>
      <w:r>
        <w:t xml:space="preserve">den Beklagten zu verurteilen, an die Klägerin 5.994,43 € nebst 5 % Zinsen über dem jeweiligen Basiszinssatz seit dem 6. September 2011 sowie weitere 646,73 € Zinsen zu zahlen.</w:t>
      </w:r>
    </w:p>
    <w:p>
      <w:r>
        <w:rPr>
          <w:b/>
        </w:rPr>
        <w:t xml:space="preserve">Rn. 10</w:t>
      </w:r>
    </w:p>
    <w:p>
      <w:r>
        <w:t xml:space="preserve">Der Beklagte ist säumig.</w:t>
      </w:r>
    </w:p>
    <w:p>
      <w:r>
        <w:rPr>
          <w:b/>
        </w:rPr>
        <w:t xml:space="preserve">Rn. 11</w:t>
      </w:r>
    </w:p>
    <w:p>
      <w:r>
        <w:t xml:space="preserve">Die Klägerin hat sodann den Erlass eines Versäumnisurteils beantragt.</w:t>
      </w:r>
    </w:p>
    <w:p>
      <w:r>
        <w:rPr>
          <w:b/>
        </w:rPr>
        <w:t xml:space="preserve">Rn. 12</w:t>
      </w:r>
    </w:p>
    <w:p>
      <w:r>
        <w:t xml:space="preserve">Zum weiteren Vorbringen wird Bezug genommen auf den Akteninhalt.</w:t>
      </w:r>
    </w:p>
    <w:p>
      <w:r>
        <w:rPr>
          <w:b/>
        </w:rPr>
        <w:t xml:space="preserve">Rn. 13</w:t>
      </w:r>
    </w:p>
    <w:p>
      <w:r>
        <w:t xml:space="preserve">Das Gericht hat die Klägerin auf Bedenken hinsichtlich der Wirksamkeit der Kündigung und auf die Fiktion des § 503 BGB hingewiesen.</w:t>
      </w:r>
    </w:p>
    <w:p>
      <w:pPr>
        <w:pStyle w:val="Heading2"/>
      </w:pPr>
      <w:r>
        <w:t xml:space="preserve">Entscheidungsgründe</w:t>
      </w:r>
    </w:p>
    <w:p>
      <w:r>
        <w:rPr>
          <w:b/>
        </w:rPr>
        <w:t xml:space="preserve">Rn. 14</w:t>
      </w:r>
    </w:p>
    <w:p>
      <w:r>
        <w:t xml:space="preserve">Die Klage ist unbegründet.</w:t>
      </w:r>
    </w:p>
    <w:p>
      <w:r>
        <w:rPr>
          <w:b/>
        </w:rPr>
        <w:t xml:space="preserve">Rn. 15</w:t>
      </w:r>
    </w:p>
    <w:p>
      <w:r>
        <w:t xml:space="preserve">Der Klägerin stehen aus dem Darlehensvertrag zwischen den Parteien Ansprüche nicht zu.</w:t>
      </w:r>
    </w:p>
    <w:p>
      <w:r>
        <w:rPr>
          <w:b/>
        </w:rPr>
        <w:t xml:space="preserve">Rn. 16</w:t>
      </w:r>
    </w:p>
    <w:p>
      <w:r>
        <w:t xml:space="preserve">Soweit sich die Klägerin auf die Kündigung beruft, stehen ihr schon deshalb keine Ansprüche zu, weil sie die Kündigungsvoraussetzungen nach Ziffer 5 ihrer eigenen Allgemeinen Geschäftsbedingungen nicht geschaffen hat. Danach solle die Kündigung dann berechtigt sein, wenn Darlehensnehmerin auf Anforderung der Bank nicht anderweitig angemessene Sicherheit geleistet hat. Eine solche Anforderung ist unstreitig nicht erfolgt. Sie war auch nicht im Übrigen entbehrlich, da § 494 BGB insoweit abbedungen ist.</w:t>
      </w:r>
    </w:p>
    <w:p>
      <w:r>
        <w:rPr>
          <w:b/>
        </w:rPr>
        <w:t xml:space="preserve">Rn. 17</w:t>
      </w:r>
    </w:p>
    <w:p>
      <w:r>
        <w:t xml:space="preserve">Die Klägerin hat Ansprüche aus anderem Rechtsgrund nicht hinreichend dargetan. Vielmehr ist durch die Rücknahme des Pkw Rücktrittsfiktion des § 503 BGB ausgelöst worden.</w:t>
      </w:r>
    </w:p>
    <w:p>
      <w:r>
        <w:rPr>
          <w:b/>
        </w:rPr>
        <w:t xml:space="preserve">Rn. 18</w:t>
      </w:r>
    </w:p>
    <w:p>
      <w:r>
        <w:t xml:space="preserve">Danach gilt die Ansichnahme des Vertragsgegenstandes bei einem verbundenen Darlehensgeschäft als Rücktritt vom Darlehensvertrag. Nach § 503 BGB in der maßgeblichen Fassung (jetzt § 508 Abs. 2 BGB) kann der Unternehmer von einem Teilzahlungsgeschäft sowie von einem verbundenen Vertrag im Falle der Voraussetzung des § 498 Abs. 1 BGB zurücktreten. Nimmt der Unternehmer die aufgrund des Teilzahlungsgeschäfts bzw. des verbundenen Vertrages gelieferte Sache wieder an sich, gilt dies als Ausübung des Rücktrittsrechts, es sei denn, der Unternehmer einigt sich mit dem Verbraucher, diesem den gewöhnlichen Verbrauchswert der Sache im Zeitpunkt der Wegnahme zu vergüten. Eine wirksame Vereinbarung, die die Rücktrittsfiktion ausschließt, liegt nicht vor, da die Vereinbarung in Nr. 8 b) der Darlehensbedingungen der Klägerin die Rücktrittsfiktion nicht zu beseitigen vermag. Die Klausel erfüllt nicht die Voraussetzungen des § 503 Abs. 2 S. 4 BGB.</w:t>
      </w:r>
    </w:p>
    <w:p>
      <w:r>
        <w:rPr>
          <w:b/>
        </w:rPr>
        <w:t xml:space="preserve">Rn. 19</w:t>
      </w:r>
    </w:p>
    <w:p>
      <w:r>
        <w:t xml:space="preserve">Zwar ist allgemein anerkannt, dass die Einigung durch eine auch in allgemeinen Geschäftsbedingungen zu Teilzahlungsgeschäften vorformulierte Abrede vorwegzunehmen möglich ist (vgl. OLG Stuttgart, Urt. v. 07.11.1995, 6 U 118/95, Rdn. 28).</w:t>
      </w:r>
    </w:p>
    <w:p>
      <w:r>
        <w:rPr>
          <w:b/>
        </w:rPr>
        <w:t xml:space="preserve">Rn. 20</w:t>
      </w:r>
    </w:p>
    <w:p>
      <w:r>
        <w:t xml:space="preserve">Eine Vereinbarung, wonach der Darlehensgeber eines verbundenen Darlehensgeschäfts dem Darlehensnehmer im Falle der Rücknahme des Fahrzeugs zur Verwertung den Händlereinkaufspreis ohne Mwst vergütet, ist nicht geeignet, die Rücktrittsfiktion des § 503 Abs. 2 (jetzt $508 Abs. 2 BGB auszuschließen. Denn damit ist nicht die Vergütung des gewöhnlichen Verkaufswerts vereinbart. Der gewöhnliche Verkaufswert im Fall des § 503 Abs. 2 S. 4 BGB wird nach § 813 Abs. 1 ZPO ermittelt (vgl. OLG Brandenburg, Beschluss v. 30.04.2008, 3 W 58/07, Beck RS 08584). Er bestimmt sich nach allgemeiner, Meinung, der das Gericht folgt, nach dem für die gebrauchte Sache bei freihändigem Verkauf im Zeitpunkt des Wieder-an-sich-nehmens erzielbaren Verkaufspreises, also beim finanzierten Autokauf nach dem Preis, den der Kreditgeber bei Berücksichtigung der allgemeinen wirtschaftlichen, örtlichen und zeitlichen Verhältnisse am Gebrauchtwagenmarkt erzielen könnte (vgl. OLG Stuttgart, Urt. v. 07.11.1995, 6 U 118/95, Rdn. 29; vgl. Staudinger/Kessel-Wulf, § 503 Rdn. 37). Maßgeblich ist der gegenüber dem Letztverkäufer erzielbare Verkaufspreis ohne Mwst. und damit gerade nicht der von der Klägerin herangezogene Händlereinkaufspreis (vgl. OLG Stuttgart, a.a.O.; Staudinger/Kessel-Wulf, a.a.O)... Maßgebend für die Verwertung ist vielmehr der tatsächliche Verkehrswert des Fahrzeugs, der sich im Händlerverkaufspreis widerspiegelt (vgl. LG Itzehoe, Urt. v. 11.10.2007, 7 O 54/06 Rdn. 36; 11.11.2010 7 O 302/09,juris Rn 25, sowie OLG Dresden, NJW-RR 1999, 703), der den Händlereinkaufspreis regelmäßig um 15-20 % (nach Erfahrung des Gerichts häufig bis zu 30%) übersteigt.</w:t>
      </w:r>
    </w:p>
    <w:p>
      <w:r>
        <w:rPr>
          <w:b/>
        </w:rPr>
        <w:t xml:space="preserve">Rn. 21</w:t>
      </w:r>
    </w:p>
    <w:p>
      <w:r>
        <w:t xml:space="preserve">Im Hinblick auf die Rücknahme des Fahrzeuges hat die Klägerin daher, ungeachtet einer etwaigen unberechtigten Rücknahme und damit Unwirksamkeit der Kündigung den Vertrag unter Berücksichtigung des Händlerverkaufspreises des Fahrzeuges nach § 346 BGB abzurechnen. Dies ist trotz Hinweises des Gerichts vor dem Termin und im Termin nicht geschehen.</w:t>
      </w:r>
    </w:p>
    <w:p>
      <w:r>
        <w:rPr>
          <w:b/>
        </w:rPr>
        <w:t xml:space="preserve">Rn. 22</w:t>
      </w:r>
    </w:p>
    <w:p>
      <w:r>
        <w:t xml:space="preserve">Soweit die Klägerin meint, die Rücktrittsfiktion des § 503 BGB könne deshalb nicht ausgelöst werden, weil sie bereits zuvor den Vertrag gekündigt habe, so verkennt sie, dass der Gesetzgeber insoweit gerade abweichend von sonstigen gesetzlichen Regelungen in § 503 BGB in der seinerzeit geltenden Fassung eine ausdrückliche Regelung getroffen hat.</w:t>
      </w:r>
    </w:p>
    <w:p>
      <w:r>
        <w:rPr>
          <w:b/>
        </w:rPr>
        <w:t xml:space="preserve">Rn. 23</w:t>
      </w:r>
    </w:p>
    <w:p>
      <w:r>
        <w:t xml:space="preserve">Die Klägerin hat auch Ansprüche aus anderem Rechtsgrund nicht dargetan.</w:t>
      </w:r>
    </w:p>
    <w:p>
      <w:r>
        <w:rPr>
          <w:b/>
        </w:rPr>
        <w:t xml:space="preserve">Rn. 24</w:t>
      </w:r>
    </w:p>
    <w:p>
      <w:r>
        <w:t xml:space="preserve">Die Klage war daher mit der Kostenfolge aus § 91 ZPO abzuweisen.</w:t>
      </w:r>
    </w:p>
    <w:p>
      <w:r>
        <w:rPr>
          <w:b/>
        </w:rPr>
        <w:t xml:space="preserve">Rn. 25</w:t>
      </w:r>
    </w:p>
    <w:p>
      <w:r>
        <w:t xml:space="preserve">Die Entscheidung über die vorläufige Vollstreckbarkeit ergibt sich aus §§ 708 Ziff. 11, 711 ZPO.</w:t>
      </w:r>
    </w:p>
    <w:p>
      <w:r>
        <w:rPr>
          <w:color w:val="555555"/>
          <w:sz w:val="17"/>
        </w:rPr>
        <w:t xml:space="preserve">Zitiervorschlag: Landgericht Itzehoe, Urteil vom 24.05.2012 – 7 O 301/11, ECLI:DE:LGITZEH:2012:0524.7O301.11.0A</w:t>
      </w:r>
    </w:p>
    <w:p>
      <w:r>
        <w:rPr>
          <w:color w:val="555555"/>
          <w:sz w:val="17"/>
        </w:rPr>
        <w:t xml:space="preserve">Quelle: Open Legal Data, abgerufen 08.07.2026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https://recht.nulegal.eu/rechtsprechung/lg-itzehoe/2012-05-24/7-o-301-11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