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Kammergericht, Beschluss vom 10.12.2025 – 5 W 168/25</w:t>
      </w:r>
    </w:p>
    <w:p>
      <w:r>
        <w:rPr>
          <w:color w:val="555555"/>
          <w:sz w:val="18"/>
        </w:rPr>
        <w:t xml:space="preserve">ECLI:DE:KG:2025:1210.5W168.25.00</w:t>
      </w:r>
    </w:p>
    <w:p>
      <w:r>
        <w:t xml:space="preserve">Orientierungssatz</w:t>
      </w:r>
    </w:p>
    <w:p>
      <w:r>
        <w:t xml:space="preserve">1. Eine Selbstwiderlegung der Dringlichkeitsvermutung kommt nicht nur bei zögerlicher Verfahrenseinleitung, sondern auch dann in Betracht, wenn der Antragsteller nach (zeitnaher) Verfahrenseinleitung durch sein weiteres Verhalten im Verfahren zu erkennen gibt, dass die Sache für ihn nicht (mehr) eilig ist. Er ist dazu gehalten, das Verfahren nach besten Kräften zu fördern und alles zu unterlassen, was zu einer Verzögerung der von ihm erstrebten Entscheidung führen kann.(Rn.8)</w:t>
      </w:r>
    </w:p>
    <w:p>
      <w:r>
        <w:t xml:space="preserve">2. Dringlichkeitsschädliches Verhalten ist regelmäßig anzunehmen, wenn ein neuer Streitgegenstand in das Verfahren eingeführt wird (Anschluss OLG München, Urteil vom 5. Februar 2015 - 6 U 3249/14).(Rn.9)</w:t>
      </w:r>
    </w:p>
    <w:p>
      <w:r>
        <w:t xml:space="preserve">3. Das gleiche gilt, wenn der Antragsteller nicht schon mit der Antragsschrift die vorgerichtliche Zurückweisung der Abmahnung durch den Antragsgegner einreicht und dieses Vorgehen eine entsprechende, das Verfahren verzögernde Nachfrage des Gerichts herausfordert.(Rn.10)</w:t>
      </w:r>
    </w:p>
    <w:p>
      <w:r>
        <w:t xml:space="preserve">Verfahrensgang</w:t>
      </w:r>
    </w:p>
    <w:p>
      <w:r>
        <w:t xml:space="preserve">vorgehend LG Berlin II, 5. November 2025, 97 O 116/25 eV</w:t>
      </w:r>
    </w:p>
    <w:p>
      <w:pPr>
        <w:pStyle w:val="Heading2"/>
      </w:pPr>
      <w:r>
        <w:t xml:space="preserve">Tenor</w:t>
      </w:r>
    </w:p>
    <w:p>
      <w:r>
        <w:t xml:space="preserve">1. Die sofortige Beschwerde der Antragstellerin gegen den Beschluss des Landgerichts Berlin II vom 5. November 2025 - Kammer für Handelssachen 97, Az. 97 O 116/25 eV - wird auf ihre Kosten zurückgewiesen</w:t>
      </w:r>
    </w:p>
    <w:p>
      <w:r>
        <w:t xml:space="preserve">2. Der Wert des Beschwerdeverfahrens wird auf 100.000,- EUR festgesetzt.</w:t>
      </w:r>
    </w:p>
    <w:p>
      <w:pPr>
        <w:pStyle w:val="Heading2"/>
      </w:pPr>
      <w:r>
        <w:t xml:space="preserve">Gründe</w:t>
      </w:r>
    </w:p>
    <w:p>
      <w:r>
        <w:t xml:space="preserve">I.</w:t>
      </w:r>
    </w:p>
    <w:p>
      <w:r>
        <w:rPr>
          <w:b/>
        </w:rPr>
        <w:t xml:space="preserve">Rn. 1</w:t>
      </w:r>
    </w:p>
    <w:p>
      <w:r>
        <w:t xml:space="preserve">Die Antragstellerin begehrt den Erlass einer einstweiligen Verfügung, mit der der Antragsgegnerin untersagt werden soll, im geschäftlichen Verkehr in der Bundesrepublik Deutschland zu werben und/oder werben zu lassen, und zwar unter Verwendung a) der Bezeichnung „…“ oder „…“ zur Kennzeichnung oder Bewerbung einer Bildungsanwendung für die Unterstützung von Lehrkräften; b) der Bewertungen von Nutzern, soweit in diesen ein Vergleich mit der Bildungsanwendung für Lehrkräfte der Antragstellerin vorgenommen wird; c) der Angabe „Beste …“ oder mit inhaltsgleichen bzw. kerngleichen Superlativbehauptungen, die den Produkten der Antragsgegnerin eine Alleinstellung oder Spitzenstellung zuschreiben.</w:t>
      </w:r>
    </w:p>
    <w:p>
      <w:r>
        <w:rPr>
          <w:b/>
        </w:rPr>
        <w:t xml:space="preserve">Rn. 2</w:t>
      </w:r>
    </w:p>
    <w:p>
      <w:r>
        <w:t xml:space="preserve">Das Landgericht hat den Verfügungsantrag mit Beschluss vom 5. November 2025 zurückgewiesen. Zur Begründung führt es im Wesentlichen aus, die Antragstellerin nehme einen ihr im Grundsatz eröffneten Verfahrensweg in Anspruch, ohne die ihr hierbei vorgegebenen prozessualen Obliegenheiten beachtet zu haben. Sie habe das Antwortschreiben des Bevollmächtigten der Antragsgegnerin auf die vorgerichtliche Abmahnung nicht mit der Antragsschrift eingereicht. Dies sei aber zwingend erforderlich gewesen zur Prüfung, ob die Antragsgegnerin Gelegenheit besaß, zum konkreten Verfügungsantrag Stellung zu nehmen, und ob dem Antrag erhebliche Gesichtspunkte aus dem Antwortschreiben entgegenstehen können. Der sofortigen Beschwerde der Antragstellerin vom 12. November 2025 hat das Landgericht mit Beschluss vom 3. Dezember 2025 nicht abgeholfen und die Sache dem Kammergericht zur Entscheidung vorgelegt.</w:t>
      </w:r>
    </w:p>
    <w:p>
      <w:r>
        <w:t xml:space="preserve">II.</w:t>
      </w:r>
    </w:p>
    <w:p>
      <w:r>
        <w:rPr>
          <w:b/>
        </w:rPr>
        <w:t xml:space="preserve">Rn. 3</w:t>
      </w:r>
    </w:p>
    <w:p>
      <w:r>
        <w:t xml:space="preserve">Die zulässige, insbesondere form- und fristgerecht eingelegte sofortige Beschwerde (vgl. § 567 Abs. 1 Nr. 2, § 569 Abs. 1, Abs. 2 ZPO) hat in der Sache keinen Erfolg. Das Landgericht nimmt jedenfalls im Ergebnis zu Recht an, dass der Verfügungsantrag unzulässig ist. Der Antragstellerin fehlt für die begehrte einstweilige Verfügung der Verfügungsgrund, weshalb es dahinstehen kann, ob ihr der geltend gemachte Verfügungsanspruch zusteht.</w:t>
      </w:r>
    </w:p>
    <w:p>
      <w:r>
        <w:rPr>
          <w:b/>
        </w:rPr>
        <w:t xml:space="preserve">Rn. 4</w:t>
      </w:r>
    </w:p>
    <w:p>
      <w:r>
        <w:t xml:space="preserve">1. Die internationale Zuständigkeit der deutschen Gerichte ist, was das Landgericht seiner Entscheidung - wenn auch unausgesprochen - zugrunde legt, gegeben; sie folgt aus Art. 5 Nr. 3 des Übereinkommens vom 30. Oktober 2007 über die gerichtliche Zuständigkeit und die Anerkennung und Vollstreckung von Entscheidungen in Zivil- und Handelssachen (nachfolgend: LugÜ). Denn der Ort der Verwirklichung des Schadenserfolgs liegt in Deutschland, weil sich die beanstandete und in deutscher Sprache gefertigte Werbung der Antragsgegnerin bestimmungsgemäß jedenfalls auch auf den Markt in Deutschland auswirken soll (vgl. dazu BGH, Urteil vom 12. Dezember 2013 - I ZR 131/12, NJW 2014, 2504 [juris Rn. 16 ff.] - englischsprachige Pressemitteilung).</w:t>
      </w:r>
    </w:p>
    <w:p>
      <w:r>
        <w:rPr>
          <w:b/>
        </w:rPr>
        <w:t xml:space="preserve">Rn. 5</w:t>
      </w:r>
    </w:p>
    <w:p>
      <w:r>
        <w:t xml:space="preserve">Die von der Antragsgegnerin gerügte örtliche Zuständigkeit ist im Beschwerdeverfahren dagegen nicht zu prüfen, § 571 Abs. 2 Satz 2 ZPO.</w:t>
      </w:r>
    </w:p>
    <w:p>
      <w:r>
        <w:rPr>
          <w:b/>
        </w:rPr>
        <w:t xml:space="preserve">Rn. 6</w:t>
      </w:r>
    </w:p>
    <w:p>
      <w:r>
        <w:t xml:space="preserve">2. Das Landgericht verneint - jedenfalls im Ergebnis - zu Recht die Zulässigkeit des Verfügungsantrags. Ob dem Begehren, wie das Landgericht meint, das Rechtsschutzbedürfnis fehlt, weil die Antragstellerin das Antwortschreiben der Antragsgegnerin auf die Abmahnung nicht mit der Antragsschrift eingereicht hat, kann dabei dahinstehen. Denn jedenfalls hat sich die Antragstellerin dringlichkeitsschädlich verhalten mit der Folge, dass die gesetzliche Vermutung der Dringlichkeit entfallen ist.</w:t>
      </w:r>
    </w:p>
    <w:p>
      <w:r>
        <w:rPr>
          <w:b/>
        </w:rPr>
        <w:t xml:space="preserve">Rn. 7</w:t>
      </w:r>
    </w:p>
    <w:p>
      <w:r>
        <w:t xml:space="preserve">a) Nach § 12 Abs. 1 UWG bzw. § 140 Abs. 3 MarkenG setzt der Erlass einer einstweiligen Verfügung zwar keine gesonderte Darlegung und Glaubhaftmachung der in §§ 935, 940 ZPO geregelten Dringlichkeitsvoraussetzungen voraus, sondern die Dringlichkeit wird vermutet (vgl. etwa Senat, Urteil vom 2. Juni 2017 - 5 U 196/16, MPR 2018, 188 [juris Rn. 3] mwN zu § 12 Abs. 2 UWG aF). Die Vermutung der Dringlichkeit ist aber widerleglich. Dies kann insbesondere dadurch geschehen, dass ein Verletzter durch sein eigenes Verhalten zu erkennen gibt, dass die Verfolgung des beanstandeten Verstoßes für ihn selbst nicht eilig ist (vgl. etwa BGH, Beschluss vom 1. Juli 1999 - I ZB 7/99, NJW-RR 2000, 209 [juris Rn. 11]; Senat, Urteil vom 2. Juni 2017 - 5 U 196/16, MPR 2018, 188 [juris Rn. 4]; Beschluss vom 15. Oktober 2021 - 5 W 133/21, GRURPrax 2022, 560 [juris Rn. 59]). In einem solchen Fall entfällt ein Verfügungsgrund und es ist dem Antragsteller zuzumuten, seine Ansprüche mit einer Klage im Hauptsacheverfahren durchzusetzen (vgl. etwa Senat, Beschluss vom 14. August 2023 - 5 W 117/23, GRUR 2023, 1565 [juris Rn. 9]).</w:t>
      </w:r>
    </w:p>
    <w:p>
      <w:r>
        <w:rPr>
          <w:b/>
        </w:rPr>
        <w:t xml:space="preserve">Rn. 8</w:t>
      </w:r>
    </w:p>
    <w:p>
      <w:r>
        <w:t xml:space="preserve">Eine Widerlegung der Dringlichkeitsvermutung kommt nicht nur bei zögerlicher Verfahrenseinleitung, sondern auch dann in Betracht, wenn der Gläubiger des Verfügungsanspruchs nach (zunächst hinreichend zeitnaher) Verfahrenseinleitung durch sein Verhalten im Verfahren zu erkennen gibt, dass die Sache für ihn nicht (mehr) eilig ist (vgl. Senat, Beschluss vom 14. August 2023 - 5 W 117/23, GRUR 2023, 1565 [juris Rn. 9]; Urteil vom 17. Oktober 2014 - 5 U 63/14, GRUR-RR 2015, 181 [juris Rn. 38], mwN); er ist - jedenfalls in einem Verfahrensstadium, in dem er nicht (oder nicht mehr) durch einen bereits vorläufig vollstreckbaren Titel gesichert ist - dazu gehalten, das Verfahren nach besten Kräften zu fördern und alles zu unterlassen, was zu einer Verzögerung der von ihm erstrebten Entscheidung führen kann. Ob diese Obliegenheit verletzt wird, ist auf der Grundlage einer Gesamtbetrachtung seines gesamten prozessualen und vorprozessualen Verhaltens zu beurteilen (vgl. etwa Hanseatisches Oberlandesgericht Hamburg, Beschluss vom 21. Mai 2021 - 5 W 11/21, GRUR-RR 2021, 474 [juris Rn. 43]; OLG Hamburg, Urteil vom 21. März 2019 - 3 U 105/18, WRP 2019, 917 [juris Rn. 43]; Köhler/Feddersen in Köhler/Feddersen, UWG, 43. Aufl. 2025, UWG § 12 Rn. 2.16); der Partei ist das Verhalten ihres Verfahrensbevollmächtigten gemäß § 85 Abs. 2 ZPO zuzurechnen (vgl. OLG München, Beschluss vom 16. September 2021 - 29 U 3437/21 Kart, GRUR-RR 2022, 152 [juris Rn. 7]).</w:t>
      </w:r>
    </w:p>
    <w:p>
      <w:r>
        <w:rPr>
          <w:b/>
        </w:rPr>
        <w:t xml:space="preserve">Rn. 9</w:t>
      </w:r>
    </w:p>
    <w:p>
      <w:r>
        <w:t xml:space="preserve">b) Hiervon ausgehend kann etwa eine maßgebliche Änderung und Erweiterung des Streitstoffs zur Widerlegung der Dringlichkeitsvermutung führen (vgl. Singer in Ahrens, Der Wettbewerbsprozess, 9. Aufl. Kap. 47, Rn. 51; MüKoUWG/Schlingloff, 3. Aufl. 2022, § 12 Rn. 87). Es ist zwar noch nicht dringlichkeitsschädlich, wenn nach zügiger Einleitung eines Verfügungsverfahrens und ohne Änderung des Streitgegenstandes einzelne Unzulänglichkeiten im Vortrag ergänzt werden, oder solche Antragsänderungen vorgenommen werden, die den Streitgegenstand unberührt lassen (vgl. MüKoUWG/Schlingloff, 3. Aufl. 2022, § 12 Rn. 87 mwN). Dringlichkeitsschädliches Verhalten wird aber regelmäßig anzunehmen sein, soweit ein neuer Streitgegenstand in das Verfahren eingeführt wird (vgl. OLG München, Urteil vom 5. Februar 2015 - 6 U 3249/14, GRUR 2015, 590 [juris Rn. 82]; Hanseatisches Oberlandesgericht Hamburg, Urteil vom 10. September 2008 - 5 U 114/07, GRUR-RR 2009, 309 [juris Rn. 27]; vgl. auch Retzer in Harte-Bavendamm/Henning-Bodewig, UWG, 5. Aufl. 2021, § 12 Rn. 87; BeckOK UWG/Scholz [1.10.2024], § 12 Rn. 38 ff.; Spätgens/Danckwerts in Gloy/Loschelder/Danckwerts, WettbR-HdB, 5. Aufl. 2019, § 100 Rn. 58; jeweils mwN). Die Vermutung der Dringlichkeit ist in der Regel auch widerlegt, soweit der Verfügungsanspruch hinsichtlich der konkreten Verletzungsform erst im Laufe des Verfahrens auf einen bereits zu dessen Beginn bekannten Gesichtspunkt gestützt wird, insbesondere wenn das Gericht die Unterlassungsverfügung auf diesen Aspekt nicht von selbst hätte stützten können (vgl. OLG Frankfurt, Urteil vom 8. November 2018 - 6 U 77/18, GRUR-RR 2019, 240 [juris Rn. 19] und Urteil vom 29. September 2016 - 6 U 110/16, WRP 2017, 94 [juris Rn. 12]; Spätgens/Danckwerts in Gloy/Loschelder/Danckwerts, WettbR-HdB, 5. Aufl. 2019, § 100 Rn. 58; vgl. auch OLG Düsseldorf, Urteil vom 24. Januar 2019 - I-20 U 53/18, GRUR-RR 2019, 299 [juris Rn. 28]; MüKoUWG/Schlingloff, 3. Aufl. 2022, § 12 Rn. 87; vgl. dagegen zu dem bloßen Austausch der Anspruchsgrundlage: OLG Frankfurt, Beschluss vom 7. November 2022 - 6 W 72/22, NJW-RR 2023, 257 [juris Rn. 35]).</w:t>
      </w:r>
    </w:p>
    <w:p>
      <w:r>
        <w:rPr>
          <w:b/>
        </w:rPr>
        <w:t xml:space="preserve">Rn. 10</w:t>
      </w:r>
    </w:p>
    <w:p>
      <w:r>
        <w:t xml:space="preserve">c) Unter Berücksichtigung dieser Grundsätze hat die Antragstellerin durch ihr gesamtes prozessuales Verhalten die Vermutung der Dringlichkeit selbst widerlegt. Zu Recht stellt das Landgericht - wenn auch in einem etwas anderen Zusammenhang - darauf ab, dass die Antragstellerin nicht schon mit der Antragsschrift die vorgerichtliche Zurückweisung der Abmahnung durch die Antragsgegnerin eingereicht hatte. Sie hatte selbst wegen besonderer Dringlichkeit eine dem Verfügungsantrag stattgebende Entscheidung ohne mündliche Verhandlung (§ 937 Abs. 2 ZPO) sowie ohne Anhörung der Antragsgegnerin beantragt, und ihr Vorgehen hat eine entsprechende, das Verfahren verzögernde Nachfrage des Landgerichts herausgefordert; die Antragstellerin hält die Zurückweisung der vorgerichtlich verlangten Unterlassungserklärung durch die Antragsgegnerin für unzureichend (vgl. Antragsschrift, Rn. 14 und 65), ohne dem Gericht eine etwaige Prüfung der Zurückweisung zu ermöglichen. Zu Letzterem war die Antragstellerin aber verpflichtet; sie hatte von sich aus nicht nur den Verfügungsantrag unverzüglich im Anschluss an die Abmahnung und nach Ablauf einer angemessenen Frist für die begehrte Unterlassungserklärung bei Gericht einzureichen, sondern musste dem Verfügungsantrag auch ein etwaiges Zurückweisungsschreiben der Antragsgegnerin beifügen (vgl. BVerfG, Beschluss vom 11. Januar 2021 - 1 BvR 2681/20, NJW 2021, 1587 [juris Rn. 32]; Beschluss vom 22. Dezember 2020 -1 BvR 2740/20, NJW 2021, 615 [juris Rn. 22]).</w:t>
      </w:r>
    </w:p>
    <w:p>
      <w:r>
        <w:rPr>
          <w:b/>
        </w:rPr>
        <w:t xml:space="preserve">Rn. 11</w:t>
      </w:r>
    </w:p>
    <w:p>
      <w:r>
        <w:t xml:space="preserve">Hinzu kommt im Streitfall, dass die Antragsstellerin in dem Schriftsatz vom 15. Oktober 2025 ihr Begehren - anders als noch in der Antragsschrift - nicht nur auf wettbewerbsrechtliche, sondern auch auf markenrechtliche Ansprüche und damit auf einen weiteren, nachträglich in das Verfahren eingeführten Streit- bzw. Verfahrensgegenstand stützt (vgl. dazu etwa BGH, Urteil vom 24. Januar 2013 - I ZR 60/11, GRUR 2013, 397 [juris Rn. 13] - Peek &amp; Cloppenburg III; Köhler/Feddersen in Köhler/Bornkamm/Feddersen, UWG, 43. Aufl. 2025, § 12 Rn. 1.23l; jeweils mwN), worin regelmäßig eine Widerlegung der Dringlichkeitsvermutung zu sehen ist (s.o.). Dies ist im Streitfall auch nicht deshalb anders zu beurteilen, weil die Markeneintragung erst am 18. September 2025 erfolgt ist und ggf. zum Zeitpunkt der Einreichung der Antragsschrift noch nicht bekannt gewesen sein mag. Denn zur Vermeidung einer (unzulässigen) alternativen Antragshäufung war die Antragstellerin jedenfalls gehalten, von sich aus eine konkrete Prüfungsreihenfolge ihres auf mehrere Verfahrensgegenstände gestützten Begehrens vorzugeben (vgl. etwa BGH, Urteil vom 17. Januar 2023 - VI ZR 203/22, NJW 2023, 1361 [juris Rn. 15]; Urteil vom 25. März 2025 - VI ZR 174/24, NJW 2025, 2465 [juris Rn. 13]). Indem sie dies mit der Erweiterung ihres Begehrens unterlassen hat, hat sie erneut eine gerichtliche Nachfrage durch das Landgericht herausgefordert und das Verfahren wiederum verzögert. Erst auf ihren Schriftsatz vom 24. Oktober 2025 und damit - auch wenn es hierauf nicht entscheidend ankommt - mehr als zwei Monate nach Kenntnis des geltend gemachten Verstoßes am 21. August 2025 (vgl. Antragsschrift, Rn. 63) wäre das Landgericht überhaupt erst in der Lage gewesen, eine Entscheidung in der Sache herbeizuführen.</w:t>
      </w:r>
    </w:p>
    <w:p>
      <w:r>
        <w:rPr>
          <w:b/>
        </w:rPr>
        <w:t xml:space="preserve">Rn. 12</w:t>
      </w:r>
    </w:p>
    <w:p>
      <w:r>
        <w:t xml:space="preserve">Unter Berücksichtigung dieser Umstände sieht der Senat die gesetzliche Vermutung der Dringlichkeit als durch die Antragstellerin widerlegt an; sie hat nicht alles in ihrer Macht Stehende getan, um den baldigen Erlass der einstweiligen Verfügung zu erreichen. Dies gilt in Bezug auf das Verfügungsbegehren insgesamt und nicht lediglich in Bezug auf einzelne Anträge. Denn im Streitfall waren alle aufgezeigten, für die Widerlegung der Dinglichkeitsvermutung sprechenden Aspekte dazu geeignet, zu einer Verzögerung der Entscheidung insgesamt zu führen; das Landgericht war nicht etwa gehalten, über einzelne Anträge vorweg zu entscheiden.</w:t>
      </w:r>
    </w:p>
    <w:p>
      <w:r>
        <w:t xml:space="preserve">III.</w:t>
      </w:r>
    </w:p>
    <w:p>
      <w:r>
        <w:rPr>
          <w:b/>
        </w:rPr>
        <w:t xml:space="preserve">Rn. 13</w:t>
      </w:r>
    </w:p>
    <w:p>
      <w:r>
        <w:t xml:space="preserve">1. Die Kostenentscheidung beruht auf § 97 Abs. 1 ZPO.</w:t>
      </w:r>
    </w:p>
    <w:p>
      <w:r>
        <w:rPr>
          <w:b/>
        </w:rPr>
        <w:t xml:space="preserve">Rn. 14</w:t>
      </w:r>
    </w:p>
    <w:p>
      <w:r>
        <w:t xml:space="preserve">2. Eine Entscheidung über die Zulassung der Rechtsbeschwerde ist nicht veranlasst, § 574 Abs. 1 Satz 2, § 542 Abs. 2 Satz 1 ZPO.</w:t>
      </w:r>
    </w:p>
    <w:p>
      <w:r>
        <w:rPr>
          <w:b/>
        </w:rPr>
        <w:t xml:space="preserve">Rn. 15</w:t>
      </w:r>
    </w:p>
    <w:p>
      <w:r>
        <w:t xml:space="preserve">3. Die Entscheidung zur Wertfestsetzung folgt aus § 47 Abs. 1, § 48 Abs. 1, § 51 Abs. 1, Abs. 2, Abs. 4 GKG i.V.m. § 3 ZPO.</w:t>
      </w:r>
    </w:p>
    <w:p>
      <w:r>
        <w:rPr>
          <w:color w:val="555555"/>
          <w:sz w:val="17"/>
        </w:rPr>
        <w:t xml:space="preserve">Zitiervorschlag: Kammergericht, Beschluss vom 10.12.2025 – 5 W 168/25, ECLI:DE:KG:2025:1210.5W168.25.00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https://recht.nulegal.eu/rechtsprechung/kg/2025-12-10/5-w-168-25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