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01.03.2018 – C-558/16</w:t>
      </w:r>
    </w:p>
    <w:p>
      <w:r>
        <w:rPr>
          <w:color w:val="555555"/>
          <w:sz w:val="18"/>
        </w:rPr>
        <w:t xml:space="preserve">ECLI:EU:C:2018:138</w:t>
      </w:r>
    </w:p>
    <w:p>
      <w:r>
        <w:t xml:space="preserve">URTEIL DES GERICHTSHOFS (Zweite Kammer)</w:t>
      </w:r>
    </w:p>
    <w:p>
      <w:r>
        <w:t xml:space="preserve">1. März 2018 ( *1 )</w:t>
      </w:r>
    </w:p>
    <w:p>
      <w:r>
        <w:t xml:space="preserve">„Vorlage zur Vorabentscheidung – Raum der Freiheit, der Sicherheit und des Rechts – Verordnung (EU) Nr. 650/2012 – Erbsachen und Europäisches Nachlasszeugnis – Geltungsbereich – Möglichkeit der Aufnahme von Angaben zum Erbteil des überlebenden Ehegatten in das Europäische Nachlasszeugnis“</w:t>
      </w:r>
    </w:p>
    <w:p>
      <w:r>
        <w:t xml:space="preserve">In der Rechtssache C‑558/16</w:t>
      </w:r>
    </w:p>
    <w:p>
      <w:r>
        <w:t xml:space="preserve">betreffend ein Vorabentscheidungsersuchen nach Art. 267 AEUV, eingereicht vom Kammergericht (Berlin, Deutschland) mit Entscheidung vom 25. Oktober 2016, beim Gerichtshof eingegangen am 3. November 2016, in dem Verfahren</w:t>
      </w:r>
    </w:p>
    <w:p>
      <w:r>
        <w:t xml:space="preserve">Doris Margret Lisette Mahnkopf,</w:t>
      </w:r>
    </w:p>
    <w:p>
      <w:r>
        <w:t xml:space="preserve">Beteiligter:</w:t>
      </w:r>
    </w:p>
    <w:p>
      <w:r>
        <w:t xml:space="preserve">Sven Mahnkopf,</w:t>
      </w:r>
    </w:p>
    <w:p>
      <w:r>
        <w:t xml:space="preserve">erlässt</w:t>
      </w:r>
    </w:p>
    <w:p>
      <w:r>
        <w:t xml:space="preserve">DER GERICHTSHOF (Zweite Kammer)</w:t>
      </w:r>
    </w:p>
    <w:p>
      <w:r>
        <w:t xml:space="preserve">unter Mitwirkung des Kammerpräsidenten M. Ilešič, des Richters A. Rosas, der Richterinnen C. Toader (Berichterstatterin) und A. Prechal sowie des Richters E. Jarašiūnas,</w:t>
      </w:r>
    </w:p>
    <w:p>
      <w:r>
        <w:t xml:space="preserve">Generalanwalt: M. Szpunar</w:t>
      </w:r>
    </w:p>
    <w:p>
      <w:r>
        <w:t xml:space="preserve">Kanzler: K. Malacek, Verwaltungsrat,</w:t>
      </w:r>
    </w:p>
    <w:p>
      <w:r>
        <w:t xml:space="preserve">aufgrund des schriftlichen Verfahrens und auf die mündliche Verhandlung vom 4. Oktober 2017,</w:t>
      </w:r>
    </w:p>
    <w:p>
      <w:r>
        <w:t xml:space="preserve">unter Berücksichtigung der Erklärungen</w:t>
      </w:r>
    </w:p>
    <w:p>
      <w:r>
        <w:t xml:space="preserve">–</w:t>
      </w:r>
    </w:p>
    <w:p>
      <w:r>
        <w:t xml:space="preserve">der deutschen Regierung, vertreten durch T. Henze und M. Hellmann als Bevollmächtigte,</w:t>
      </w:r>
    </w:p>
    <w:p>
      <w:r>
        <w:t xml:space="preserve">–</w:t>
      </w:r>
    </w:p>
    <w:p>
      <w:r>
        <w:t xml:space="preserve">der belgischen Regierung, vertreten durch L. Van den Broeck, J. Van Holm und C. Pochet als Bevollmächtigte,</w:t>
      </w:r>
    </w:p>
    <w:p>
      <w:r>
        <w:t xml:space="preserve">–</w:t>
      </w:r>
    </w:p>
    <w:p>
      <w:r>
        <w:t xml:space="preserve">der griechischen Regierung, vertreten durch G. Papadaki und K. Karavasili als Bevollmächtigte,</w:t>
      </w:r>
    </w:p>
    <w:p>
      <w:r>
        <w:t xml:space="preserve">–</w:t>
      </w:r>
    </w:p>
    <w:p>
      <w:r>
        <w:t xml:space="preserve">der spanischen Regierung, vertreten durch V. Ester Casas als Bevollmächtigte,</w:t>
      </w:r>
    </w:p>
    <w:p>
      <w:r>
        <w:t xml:space="preserve">–</w:t>
      </w:r>
    </w:p>
    <w:p>
      <w:r>
        <w:t xml:space="preserve">der italienischen Regierung, vertreten durch G. Palmieri als Bevollmächtigte im Beistand von F. Di Matteo, avvocato dello Stato,</w:t>
      </w:r>
    </w:p>
    <w:p>
      <w:r>
        <w:t xml:space="preserve">–</w:t>
      </w:r>
    </w:p>
    <w:p>
      <w:r>
        <w:t xml:space="preserve">der polnischen Regierung, vertreten durch B. Majczyna als Bevollmächtigten,</w:t>
      </w:r>
    </w:p>
    <w:p>
      <w:r>
        <w:t xml:space="preserve">–</w:t>
      </w:r>
    </w:p>
    <w:p>
      <w:r>
        <w:t xml:space="preserve">der Europäischen Kommission, vertreten durch M. Wilderspin und M. Heller als Bevollmächtigte,</w:t>
      </w:r>
    </w:p>
    <w:p>
      <w:r>
        <w:t xml:space="preserve">nach Anhörung der Schlussanträge des Generalanwalts in der Sitzung vom 13. Dezember 2017</w:t>
      </w:r>
    </w:p>
    <w:p>
      <w:r>
        <w:t xml:space="preserve">folgendes</w:t>
      </w:r>
    </w:p>
    <w:p>
      <w:pPr>
        <w:pStyle w:val="Heading2"/>
      </w:pPr>
      <w:r>
        <w:t xml:space="preserve">Urteil</w:t>
      </w:r>
    </w:p>
    <w:p>
      <w:r>
        <w:rPr>
          <w:b/>
        </w:rPr>
        <w:t xml:space="preserve">Rn. 1</w:t>
      </w:r>
    </w:p>
    <w:p>
      <w:r>
        <w:t xml:space="preserve">Das Vorabentscheidungsersuchen betrifft die Auslegung von Art. 1 Abs. 1, Art. 67 Abs. 1 und Art. 68 Buchst. l der Verordnung (EU) Nr. 650/2012 des Europäischen Parlaments und des Rates vom 4. Juli 2012 über die Zuständigkeit, das anzuwendende Recht, die Anerkennung und Vollstreckung von Entscheidungen und die Annahme und Vollstreckung öffentlicher Urkunden in Erbsachen sowie zur Einführung eines Europäischen Nachlasszeugnisses (ABl. 2012, L 201, S. 107).</w:t>
      </w:r>
    </w:p>
    <w:p>
      <w:r>
        <w:rPr>
          <w:b/>
        </w:rPr>
        <w:t xml:space="preserve">Rn. 2</w:t>
      </w:r>
    </w:p>
    <w:p>
      <w:r>
        <w:t xml:space="preserve">Dieses Ersuchen ergeht im Rahmen eines Verfahrens über einen von Frau Doris Margret Lisette Mahnkopf nach dem Tod ihres Ehemannes gestellten Antrag auf Ausstellung eines Europäischen Nachlasszeugnisses und über die diesen betreffende Erbsache.</w:t>
      </w:r>
    </w:p>
    <w:p>
      <w:r>
        <w:t xml:space="preserve">Rechtlicher Rahmen</w:t>
      </w:r>
    </w:p>
    <w:p>
      <w:r>
        <w:t xml:space="preserve">Unionsrecht</w:t>
      </w:r>
    </w:p>
    <w:p>
      <w:r>
        <w:t xml:space="preserve">Verordnung Nr. 650/2012</w:t>
      </w:r>
    </w:p>
    <w:p>
      <w:r>
        <w:rPr>
          <w:b/>
        </w:rPr>
        <w:t xml:space="preserve">Rn. 3</w:t>
      </w:r>
    </w:p>
    <w:p>
      <w:r>
        <w:t xml:space="preserve">In den Erwägungsgründen 7, 9, 11, 12 und 71 der Verordnung Nr. 650/2012 heißt es:</w:t>
      </w:r>
    </w:p>
    <w:p>
      <w:r>
        <w:t xml:space="preserve">„(7)</w:t>
      </w:r>
    </w:p>
    <w:p>
      <w:r>
        <w:t xml:space="preserve">Die Hindernisse für den freien Verkehr von Personen, denen die Durchsetzung ihrer Rechte im Zusammenhang mit einem Erbfall mit grenzüberschreitendem Bezug derzeit noch Schwierigkeiten bereitet, sollten ausgeräumt werden, um das reibungslose Funktionieren des Binnenmarkts zu erleichtern. In einem europäischen Rechtsraum muss es den Bürgern möglich sein, ihren Nachlass im Voraus zu regeln. Die Rechte der Erben und Vermächtnisnehmer sowie der anderen Personen, die dem Erblasser nahestehen, und der Nachlassgläubiger müssen effektiv gewahrt werden.</w:t>
      </w:r>
    </w:p>
    <w:p>
      <w:r>
        <w:t xml:space="preserve">…</w:t>
      </w:r>
    </w:p>
    <w:p>
      <w:r>
        <w:t xml:space="preserve">(9)</w:t>
      </w:r>
    </w:p>
    <w:p>
      <w:r>
        <w:t xml:space="preserve">Der Anwendungsbereich dieser Verordnung sollte sich auf alle zivilrechtlichen Aspekte der Rechtsnachfolge von Todes wegen erstrecken, und zwar auf jede Form des Übergangs von Vermögenswerten, Rechten und Pflichten von Todes wegen, sei es im Wege der gewillkürten Erbfolge durch eine Verfügung von Todes wegen oder im Wege der gesetzlichen Erbfolge.</w:t>
      </w:r>
    </w:p>
    <w:p>
      <w:r>
        <w:t xml:space="preserve">…</w:t>
      </w:r>
    </w:p>
    <w:p>
      <w:r>
        <w:t xml:space="preserve">(11)</w:t>
      </w:r>
    </w:p>
    <w:p>
      <w:r>
        <w:t xml:space="preserve">Diese Verordnung sollte nicht für Bereiche des Zivilrechts gelten, die nicht die Rechtsnachfolge von Todes wegen betreffen. Aus Gründen der Klarheit sollte eine Reihe von Fragen, die als mit Erbsachen zusammenhängend betrachtet werden könnten, ausdrücklich vom Anwendungsbereich dieser Verordnung ausgenommen werden.</w:t>
      </w:r>
    </w:p>
    <w:p>
      <w:r>
        <w:t xml:space="preserve">(12)</w:t>
      </w:r>
    </w:p>
    <w:p>
      <w:r>
        <w:t xml:space="preserve">Dementsprechend sollte diese Verordnung nicht für Fragen des ehelichen Güterrechts, einschließlich der in einigen Rechtsordnungen vorkommenden Eheverträge, soweit diese keine erbrechtlichen Fragen regeln, und des Güterrechts aufgrund von Verhältnissen, die mit der Ehe vergleichbare Wirkungen entfalten, gelten. Die Behörden, die mit einer bestimmten Erbsache nach dieser Verordnung befasst sind, sollten allerdings je nach den Umständen des Einzelfalls die Beendigung des ehelichen oder sonstigen Güterstands des Erblassers bei der Bestimmung des Nachlasses und der jeweiligen Anteile der Berechtigten berücksichtigen.</w:t>
      </w:r>
    </w:p>
    <w:p>
      <w:r>
        <w:t xml:space="preserve">…</w:t>
      </w:r>
    </w:p>
    <w:p>
      <w:r>
        <w:t xml:space="preserve">(71)</w:t>
      </w:r>
    </w:p>
    <w:p>
      <w:r>
        <w:t xml:space="preserve">Das Zeugnis sollte in sämtlichen Mitgliedstaaten dieselbe Wirkung entfalten. Es sollte zwar als solches keinen vollstreckbaren Titel darstellen, aber Beweiskraft besitzen, und es sollte die Vermutung gelten, dass es die Sachverhalte zutreffend ausweist, die nach dem auf die Rechtsnachfolge von Todes wegen anzuwendenden Recht oder einem anderen auf spezifische Sachverhalte anzuwendenden Recht festgestellt wurden, wie beispielsweise die materielle Wirksamkeit einer Verfügung von Todes wegen. … “</w:t>
      </w:r>
    </w:p>
    <w:p>
      <w:r>
        <w:rPr>
          <w:b/>
        </w:rPr>
        <w:t xml:space="preserve">Rn. 4</w:t>
      </w:r>
    </w:p>
    <w:p>
      <w:r>
        <w:t xml:space="preserve">Art. 1 („Anwendungsbereich“) der Verordnung bestimmt:</w:t>
      </w:r>
    </w:p>
    <w:p>
      <w:r>
        <w:t xml:space="preserve">„(1) Diese Verordnung ist auf die Rechtsnachfolge von Todes wegen anzuwenden. Sie gilt nicht für Steuer- und Zollsachen sowie verwaltungsrechtliche Angelegenheiten.</w:t>
      </w:r>
    </w:p>
    <w:p>
      <w:r>
        <w:t xml:space="preserve">(2) Vom Anwendungsbereich dieser Verordnung ausgenommen sind:</w:t>
      </w:r>
    </w:p>
    <w:p>
      <w:r>
        <w:t xml:space="preserve">…</w:t>
      </w:r>
    </w:p>
    <w:p>
      <w:r>
        <w:t xml:space="preserve">d)</w:t>
      </w:r>
    </w:p>
    <w:p>
      <w:r>
        <w:t xml:space="preserve">Fragen des ehelichen Güterrechts sowie des Güterrechts aufgrund von Verhältnissen, die nach dem auf diese Verhältnisse anzuwendenden Recht mit der Ehe vergleichbare Wirkungen entfalten;</w:t>
      </w:r>
    </w:p>
    <w:p>
      <w:r>
        <w:t xml:space="preserve">…“</w:t>
      </w:r>
    </w:p>
    <w:p>
      <w:r>
        <w:rPr>
          <w:b/>
        </w:rPr>
        <w:t xml:space="preserve">Rn. 5</w:t>
      </w:r>
    </w:p>
    <w:p>
      <w:r>
        <w:t xml:space="preserve">In Art. 3 Abs. 1 Buchst. a dieser Verordnung wird der Begriff „Rechtsnachfolge von Todes wegen“ definiert als „jede Form des Übergangs von Vermögenswerten, Rechten und Pflichten von Todes wegen, sei es im Wege der gewillkürten Erbfolge durch eine Verfügung von Todes wegen oder im Wege der gesetzlichen Erbfolge“.</w:t>
      </w:r>
    </w:p>
    <w:p>
      <w:r>
        <w:rPr>
          <w:b/>
        </w:rPr>
        <w:t xml:space="preserve">Rn. 6</w:t>
      </w:r>
    </w:p>
    <w:p>
      <w:r>
        <w:t xml:space="preserve">Art. 21 der Verordnung, der die allgemeine Kollisionsnorm betreffend das anzuwendende Recht enthält, bestimmt in seinem Abs. 1:</w:t>
      </w:r>
    </w:p>
    <w:p>
      <w:r>
        <w:t xml:space="preserve">„Sofern in dieser Verordnung nichts anderes vorgesehen ist, unterliegt die gesamte Rechtsnachfolge von Todes wegen dem Recht des Staates, in dem der Erblasser im Zeitpunkt seines Todes seinen gewöhnlichen Aufenthalt hatte.“</w:t>
      </w:r>
    </w:p>
    <w:p>
      <w:r>
        <w:rPr>
          <w:b/>
        </w:rPr>
        <w:t xml:space="preserve">Rn. 7</w:t>
      </w:r>
    </w:p>
    <w:p>
      <w:r>
        <w:t xml:space="preserve">Art. 22 („Rechtswahl“) der Verordnung Nr. 650/2012 sieht in Abs. 1 Unterabs. 1 Folgendes vor:</w:t>
      </w:r>
    </w:p>
    <w:p>
      <w:r>
        <w:t xml:space="preserve">„Eine Person kann für die Rechtsnachfolge von Todes wegen das Recht des Staates wählen, dem sie im Zeitpunkt der Rechtswahl oder im Zeitpunkt ihres Todes angehört.“</w:t>
      </w:r>
    </w:p>
    <w:p>
      <w:r>
        <w:rPr>
          <w:b/>
        </w:rPr>
        <w:t xml:space="preserve">Rn. 8</w:t>
      </w:r>
    </w:p>
    <w:p>
      <w:r>
        <w:t xml:space="preserve">Art. 23 („Reichweite des anzuwendenden Rechts“) der Verordnung bestimmt:</w:t>
      </w:r>
    </w:p>
    <w:p>
      <w:r>
        <w:t xml:space="preserve">„(1) Dem nach Artikel 21 oder Artikel 22 bezeichneten Recht unterliegt die gesamte Rechtsnachfolge von Todes wegen.</w:t>
      </w:r>
    </w:p>
    <w:p>
      <w:r>
        <w:t xml:space="preserve">(2) Diesem Recht unterliegen insbesondere:</w:t>
      </w:r>
    </w:p>
    <w:p>
      <w:r>
        <w:t xml:space="preserve">…</w:t>
      </w:r>
    </w:p>
    <w:p>
      <w:r>
        <w:t xml:space="preserve">b)</w:t>
      </w:r>
    </w:p>
    <w:p>
      <w:r>
        <w:t xml:space="preserve">die Berufung der Berechtigten, die Bestimmung ihrer jeweiligen Anteile und etwaiger ihnen vom Erblasser auferlegter Pflichten sowie die Bestimmung sonstiger Rechte an dem Nachlass, einschließlich der Nachlassansprüche des überlebenden Ehegatten oder Lebenspartners;</w:t>
      </w:r>
    </w:p>
    <w:p>
      <w:r>
        <w:t xml:space="preserve">…“</w:t>
      </w:r>
    </w:p>
    <w:p>
      <w:r>
        <w:rPr>
          <w:b/>
        </w:rPr>
        <w:t xml:space="preserve">Rn. 9</w:t>
      </w:r>
    </w:p>
    <w:p>
      <w:r>
        <w:t xml:space="preserve">Kapitel VI („Europäisches Nachlasszeugnis“) der Verordnung Nr. 650/2012 umfasst deren Art. 62 bis 73. In Art. 62 der Verordnung heißt es:</w:t>
      </w:r>
    </w:p>
    <w:p>
      <w:r>
        <w:t xml:space="preserve">„(1) Mit dieser Verordnung wird ein Europäisches Nachlasszeugnis (im Folgenden ‚Zeugnis‘) eingeführt, das zur Verwendung in einem anderen Mitgliedstaat ausgestellt wird und die in Artikel 69 aufgeführten Wirkungen entfaltet.</w:t>
      </w:r>
    </w:p>
    <w:p>
      <w:r>
        <w:t xml:space="preserve">(2) Die Verwendung des Zeugnisses ist nicht verpflichtend.</w:t>
      </w:r>
    </w:p>
    <w:p>
      <w:r>
        <w:t xml:space="preserve">(3) Das Zeugnis tritt nicht an die Stelle der innerstaatlichen Schriftstücke, die in den Mitgliedstaaten zu ähnlichen Zwecken verwendet werden. Nach seiner Ausstellung zur Verwendung in einem anderen Mitgliedstaat entfaltet das Zeugnis die in Artikel 69 aufgeführten Wirkungen jedoch auch in dem Mitgliedstaat, dessen Behörden es nach diesem Kapitel ausgestellt haben.“</w:t>
      </w:r>
    </w:p>
    <w:p>
      <w:r>
        <w:rPr>
          <w:b/>
        </w:rPr>
        <w:t xml:space="preserve">Rn. 10</w:t>
      </w:r>
    </w:p>
    <w:p>
      <w:r>
        <w:t xml:space="preserve">Art. 63 („Zweck des Zeugnisses“) der Verordnung sieht in seinen Abs. 1 und 2 Folgendes vor:</w:t>
      </w:r>
    </w:p>
    <w:p>
      <w:r>
        <w:t xml:space="preserve">„(1) Das Zeugnis ist zur Verwendung durch Erben [und] durch Vermächtnisnehmer mit unmittelbarer Berechtigung am Nachlass … bestimmt, die sich in einem anderen Mitgliedstaat auf ihre Rechtsstellung berufen oder ihre Rechte als Erben oder Vermächtnisnehmer … ausüben müssen.</w:t>
      </w:r>
    </w:p>
    <w:p>
      <w:r>
        <w:t xml:space="preserve">(2) Das Zeugnis kann insbesondere als Nachweis für einen oder mehrere der folgenden speziellen Aspekte verwendet werden:</w:t>
      </w:r>
    </w:p>
    <w:p>
      <w:r>
        <w:t xml:space="preserve">a)</w:t>
      </w:r>
    </w:p>
    <w:p>
      <w:r>
        <w:t xml:space="preserve">die Rechtsstellung und/oder die Rechte jedes Erben oder gegebenenfalls Vermächtnisnehmers, der im Zeugnis genannt wird, und seinen jeweiligen Anteil am Nachlass;</w:t>
      </w:r>
    </w:p>
    <w:p>
      <w:r>
        <w:t xml:space="preserve">b)</w:t>
      </w:r>
    </w:p>
    <w:p>
      <w:r>
        <w:t xml:space="preserve">die Zuweisung eines bestimmten Vermögenswerts oder bestimmter Vermögenswerte des Nachlasses an die in dem Zeugnis als Erbe(n) oder gegebenenfalls als Vermächtnisnehmer genannte(n) Person(en);</w:t>
      </w:r>
    </w:p>
    <w:p>
      <w:r>
        <w:t xml:space="preserve">…“</w:t>
      </w:r>
    </w:p>
    <w:p>
      <w:r>
        <w:rPr>
          <w:b/>
        </w:rPr>
        <w:t xml:space="preserve">Rn. 11</w:t>
      </w:r>
    </w:p>
    <w:p>
      <w:r>
        <w:t xml:space="preserve">Art. 65 Abs. 3 Buchst. d der Verordnung Nr. 650/2012 lautet:</w:t>
      </w:r>
    </w:p>
    <w:p>
      <w:r>
        <w:t xml:space="preserve">„Der Antrag [auf Ausstellung eines Zeugnisses] muss die nachstehend aufgeführten Angaben enthalten, soweit sie dem Antragsteller bekannt sind und von der Ausstellungsbehörde zur Beschreibung des Sachverhalts, dessen Bestätigung der Antragsteller begehrt, benötigt werden; dem Antrag sind alle einschlägigen Schriftstücke beizufügen, und zwar entweder in Urschrift oder in Form einer Abschrift, die die erforderlichen Voraussetzungen für ihre Beweiskraft erfüllt, unbeschadet des Artikels 66 Absatz 2:</w:t>
      </w:r>
    </w:p>
    <w:p>
      <w:r>
        <w:t xml:space="preserve">…</w:t>
      </w:r>
    </w:p>
    <w:p>
      <w:r>
        <w:t xml:space="preserve">d)</w:t>
      </w:r>
    </w:p>
    <w:p>
      <w:r>
        <w:t xml:space="preserve">Angaben zum Ehegatten oder Partner des Erblassers und gegebenenfalls zu(m) ehemaligen Ehegatten oder Partner(n): Name (gegebenenfalls Geburtsname), Vorname(n), Geschlecht, Geburtsdatum und ‑ort, Personenstand, Staatsangehörigkeit, Identifikationsnummer (sofern vorhanden) und Anschrift;</w:t>
      </w:r>
    </w:p>
    <w:p>
      <w:r>
        <w:t xml:space="preserve">…“</w:t>
      </w:r>
    </w:p>
    <w:p>
      <w:r>
        <w:rPr>
          <w:b/>
        </w:rPr>
        <w:t xml:space="preserve">Rn. 12</w:t>
      </w:r>
    </w:p>
    <w:p>
      <w:r>
        <w:t xml:space="preserve">Art. 67 Abs. 1 dieser Verordnung sieht vor:</w:t>
      </w:r>
    </w:p>
    <w:p>
      <w:r>
        <w:t xml:space="preserve">„Die Ausstellungsbehörde stellt das Zeugnis unverzüglich nach dem in diesem Kapitel festgelegten Verfahren aus, wenn der zu bescheinigende Sachverhalt nach dem auf die Rechtsnachfolge von Todes wegen anzuwendenden Recht oder jedem anderen auf einen spezifischen Sachverhalt anzuwendenden Recht feststeht. Sie verwendet das nach dem Beratungsverfahren nach Artikel 81 Absatz 2 erstellte Formblatt. …“</w:t>
      </w:r>
    </w:p>
    <w:p>
      <w:r>
        <w:rPr>
          <w:b/>
        </w:rPr>
        <w:t xml:space="preserve">Rn. 13</w:t>
      </w:r>
    </w:p>
    <w:p>
      <w:r>
        <w:t xml:space="preserve">Art. 68 der Verordnung Nr. 650/2012, der den Inhalt des Nachlasszeugnisses regelt, bestimmt:</w:t>
      </w:r>
    </w:p>
    <w:p>
      <w:r>
        <w:t xml:space="preserve">„Das Zeugnis enthält folgende Angaben, soweit dies für die Zwecke, zu denen es ausgestellt wird, erforderlich ist:</w:t>
      </w:r>
    </w:p>
    <w:p>
      <w:r>
        <w:t xml:space="preserve">…</w:t>
      </w:r>
    </w:p>
    <w:p>
      <w:r>
        <w:t xml:space="preserve">f)</w:t>
      </w:r>
    </w:p>
    <w:p>
      <w:r>
        <w:t xml:space="preserve">Angaben zum Erblasser: Name (gegebenenfalls Geburtsname), Vorname(n), Geschlecht, Geburtsdatum und ‑ort, Personenstand, Staatsangehörigkeit, Identifikationsnummer (sofern vorhanden), Anschrift im Zeitpunkt seines Todes, Todesdatum und ‑ort;</w:t>
      </w:r>
    </w:p>
    <w:p>
      <w:r>
        <w:t xml:space="preserve">…</w:t>
      </w:r>
    </w:p>
    <w:p>
      <w:r>
        <w:t xml:space="preserve">h)</w:t>
      </w:r>
    </w:p>
    <w:p>
      <w:r>
        <w:t xml:space="preserve">Angaben zu einem vom Erblasser geschlossenen Ehevertrag oder, sofern zutreffend, einem vom Erblasser geschlossenen Vertrag im Zusammenhang mit einem Verhältnis, das nach dem auf dieses Verhältnis anwendbaren Recht mit der Ehe vergleichbare Wirkungen entfaltet, und Angaben zum ehelichen Güterstand oder einem vergleichbaren Güterstand;</w:t>
      </w:r>
    </w:p>
    <w:p>
      <w:r>
        <w:t xml:space="preserve">…</w:t>
      </w:r>
    </w:p>
    <w:p>
      <w:r>
        <w:t xml:space="preserve">l)</w:t>
      </w:r>
    </w:p>
    <w:p>
      <w:r>
        <w:t xml:space="preserve">den Erbteil jedes Erben und gegebenenfalls das Verzeichnis der Rechte und/oder Vermögenswerte, die einem bestimmten Erben zustehen;</w:t>
      </w:r>
    </w:p>
    <w:p>
      <w:r>
        <w:t xml:space="preserve">…“</w:t>
      </w:r>
    </w:p>
    <w:p>
      <w:r>
        <w:rPr>
          <w:b/>
        </w:rPr>
        <w:t xml:space="preserve">Rn. 14</w:t>
      </w:r>
    </w:p>
    <w:p>
      <w:r>
        <w:t xml:space="preserve">In Art. 69 („Wirkungen des Zeugnisses“) dieser Verordnung heißt es:</w:t>
      </w:r>
    </w:p>
    <w:p>
      <w:r>
        <w:t xml:space="preserve">„(1) Das Zeugnis entfaltet seine Wirkungen in allen Mitgliedstaaten, ohne dass es eines besonderen Verfahrens bedarf.</w:t>
      </w:r>
    </w:p>
    <w:p>
      <w:r>
        <w:t xml:space="preserve">(2) Es wird vermutet, dass das Zeugnis die Sachverhalte, die nach dem auf die Rechtsnachfolge von Todes wegen anzuwendenden Recht oder einem anderen auf spezifische Sachverhalte anzuwendenden Recht festgestellt wurden, zutreffend ausweist. Es wird vermutet, dass die Person, die im Zeugnis als Erbe [oder] Vermächtnisnehmer … genannt ist, die in dem Zeugnis genannte Rechtsstellung und/oder die in dem Zeugnis aufgeführten Rechte oder Befugnisse hat und dass diese Rechte oder Befugnisse keinen anderen als den im Zeugnis aufgeführten Bedingungen und/oder Beschränkungen unterliegen.</w:t>
      </w:r>
    </w:p>
    <w:p>
      <w:r>
        <w:t xml:space="preserve">… “</w:t>
      </w:r>
    </w:p>
    <w:p>
      <w:r>
        <w:t xml:space="preserve">Verordnung (EU) 2016/1103</w:t>
      </w:r>
    </w:p>
    <w:p>
      <w:r>
        <w:rPr>
          <w:b/>
        </w:rPr>
        <w:t xml:space="preserve">Rn. 15</w:t>
      </w:r>
    </w:p>
    <w:p>
      <w:r>
        <w:t xml:space="preserve">Die Erwägungsgründe 18 und 22 der Verordnung (EU) 2016/1103 des Rates vom 24. Juni 2016 zur Durchführung einer verstärkten Zusammenarbeit im Bereich der Zuständigkeit, des anzuwendenden Rechts und der Anerkennung und Vollstreckung von Entscheidungen in Fragen des ehelichen Güterstands (ABl. 2016, L 183, S. 1) lauten:</w:t>
      </w:r>
    </w:p>
    <w:p>
      <w:r>
        <w:t xml:space="preserve">„(18)</w:t>
      </w:r>
    </w:p>
    <w:p>
      <w:r>
        <w:t xml:space="preserve">Der Anwendungsbereich dieser Verordnung sollte sich auf alle zivilrechtlichen Aspekte der ehelichen Güterstände erstrecken und sowohl die Verwaltung des Vermögens der Ehegatten im Alltag betreffen als auch die güterrechtliche Auseinandersetzung, insbesondere infolge der Trennung des Paares oder des Todes eines Ehegatten. …</w:t>
      </w:r>
    </w:p>
    <w:p>
      <w:r>
        <w:t xml:space="preserve">…</w:t>
      </w:r>
    </w:p>
    <w:p>
      <w:r>
        <w:t xml:space="preserve">(22)</w:t>
      </w:r>
    </w:p>
    <w:p>
      <w:r>
        <w:t xml:space="preserve">Die Unterhaltspflichten im Verhältnis der Ehegatten untereinander sind Gegenstand der Verordnung (EG) Nr. 4/2009 des Rates [vom 18. Dezember 2008 über die Zuständigkeit, das anwendbare Recht, die Anerkennung und Vollstreckung von Entscheidungen und die Zusammenarbeit in Unterhaltssachen (ABl. 2009, L 7, S. 1)] und sollten daher vom Anwendungsbereich der vorliegenden Verordnung ausgenommen werden; das gilt auch für Fragen der Rechtsnachfolge nach dem Tod eines Ehegatten, da diese in der Verordnung [Nr. 650/2012] geregelt sind.“</w:t>
      </w:r>
    </w:p>
    <w:p>
      <w:r>
        <w:rPr>
          <w:b/>
        </w:rPr>
        <w:t xml:space="preserve">Rn. 16</w:t>
      </w:r>
    </w:p>
    <w:p>
      <w:r>
        <w:t xml:space="preserve">Art. 1 („Anwendungsbereich“) Abs. 2 Buchst. d der Verordnung bestimmt:</w:t>
      </w:r>
    </w:p>
    <w:p>
      <w:r>
        <w:t xml:space="preserve">„Vom Anwendungsbereich dieser Verordnung ausgenommen sind</w:t>
      </w:r>
    </w:p>
    <w:p>
      <w:r>
        <w:t xml:space="preserve">…</w:t>
      </w:r>
    </w:p>
    <w:p>
      <w:r>
        <w:t xml:space="preserve">d)</w:t>
      </w:r>
    </w:p>
    <w:p>
      <w:r>
        <w:t xml:space="preserve">die Rechtsnachfolge nach dem Tod eines Ehegatten“.</w:t>
      </w:r>
    </w:p>
    <w:p>
      <w:r>
        <w:rPr>
          <w:b/>
        </w:rPr>
        <w:t xml:space="preserve">Rn. 17</w:t>
      </w:r>
    </w:p>
    <w:p>
      <w:r>
        <w:t xml:space="preserve">Gemäß Art. 70 („Inkrafttreten“) Abs. 2 Unterabs. 2 der Verordnung gilt diese erst ab dem 29. Januar 2019, mit Ausnahme gewisser allgemeiner Bestimmungen und Schlussbestimmungen.</w:t>
      </w:r>
    </w:p>
    <w:p>
      <w:r>
        <w:t xml:space="preserve">Deutsches Recht</w:t>
      </w:r>
    </w:p>
    <w:p>
      <w:r>
        <w:rPr>
          <w:b/>
        </w:rPr>
        <w:t xml:space="preserve">Rn. 18</w:t>
      </w:r>
    </w:p>
    <w:p>
      <w:r>
        <w:t xml:space="preserve">§ 1371 Abs. 1 des Bürgerlichen Gesetzbuchs (im Folgenden: BGB) lautet:</w:t>
      </w:r>
    </w:p>
    <w:p>
      <w:r>
        <w:t xml:space="preserve">„Wird der Güterstand durch den Tod eines Ehegatten beendet, so wird der Ausgleich des Zugewinns dadurch verwirklicht, dass sich der gesetzliche Erbteil des überlebenden Ehegatten um ein Viertel der Erbschaft erhöht; hierbei ist unerheblich, ob die Ehegatten im einzelnen Falle einen Zugewinn erzielt haben.“</w:t>
      </w:r>
    </w:p>
    <w:p>
      <w:r>
        <w:rPr>
          <w:b/>
        </w:rPr>
        <w:t xml:space="preserve">Rn. 19</w:t>
      </w:r>
    </w:p>
    <w:p>
      <w:r>
        <w:t xml:space="preserve">§ 1931 BGB sieht vor:</w:t>
      </w:r>
    </w:p>
    <w:p>
      <w:r>
        <w:t xml:space="preserve">„(1)</w:t>
      </w:r>
    </w:p>
    <w:p>
      <w:r>
        <w:t xml:space="preserve">Der überlebende Ehegatte des Erblassers ist neben Verwandten der ersten Ordnung zu einem Viertel, neben Verwandten der zweiten Ordnung oder neben Großeltern zur Hälfte der Erbschaft als gesetzlicher Erbe berufen. Treffen mit Großeltern Abkömmlinge von Großeltern zusammen, so erhält der Ehegatte auch von der anderen Hälfte den Anteil, der nach § 1926 den Abkömmlingen zufallen würde.</w:t>
      </w:r>
    </w:p>
    <w:p>
      <w:r>
        <w:t xml:space="preserve">…</w:t>
      </w:r>
    </w:p>
    <w:p>
      <w:r>
        <w:t xml:space="preserve">(3)</w:t>
      </w:r>
    </w:p>
    <w:p>
      <w:r>
        <w:t xml:space="preserve">Die Vorschrift des § 1371 bleibt unberührt.</w:t>
      </w:r>
    </w:p>
    <w:p>
      <w:r>
        <w:t xml:space="preserve">…“</w:t>
      </w:r>
    </w:p>
    <w:p>
      <w:r>
        <w:t xml:space="preserve">Ausgangsverfahren und Vorlagefragen</w:t>
      </w:r>
    </w:p>
    <w:p>
      <w:r>
        <w:rPr>
          <w:b/>
        </w:rPr>
        <w:t xml:space="preserve">Rn. 20</w:t>
      </w:r>
    </w:p>
    <w:p>
      <w:r>
        <w:t xml:space="preserve">Am 29. August 2015 verstarb Herr Mahnkopf. Zum Zeitpunkt seines Todes war er mit Frau Mahnkopf verheiratet. Beide Ehegatten besaßen die deutsche Staatsangehörigkeit und hatten ihren gewöhnlichen Aufenthalt in Berlin. Die einzigen Erben des Verstorbenen, der keine Verfügung von Todes wegen hinterlassen hatte, waren dessen Ehefrau und der gemeinsame Sohn des Paares.</w:t>
      </w:r>
    </w:p>
    <w:p>
      <w:r>
        <w:rPr>
          <w:b/>
        </w:rPr>
        <w:t xml:space="preserve">Rn. 21</w:t>
      </w:r>
    </w:p>
    <w:p>
      <w:r>
        <w:t xml:space="preserve">Die Ehegatten lebten im gesetzlichen Güterstand der Zugewinngemeinschaft und hatten keinen Ehevertrag abgeschlossen. Zum Nachlass des Verstorbenen gehört neben Vermögenswerten in Deutschland auch ein hälftiger Miteigentumsanteil an einem Grundstück in Schweden.</w:t>
      </w:r>
    </w:p>
    <w:p>
      <w:r>
        <w:rPr>
          <w:b/>
        </w:rPr>
        <w:t xml:space="preserve">Rn. 22</w:t>
      </w:r>
    </w:p>
    <w:p>
      <w:r>
        <w:t xml:space="preserve">Auf Antrag von Frau Mahnkopf erteilte das für die Herrn Mahnkopf betreffende Erbsache zuständige Amtsgericht Schöneberg (Deutschland) am 30. Mai 2016 einen nationalen Erbschein, wonach die ihn überlebende Ehefrau und der Abkömmling den Erblasser aufgrund der nach deutschem Recht geltenden gesetzlichen Erbfolge den Erblasser jeweils zur Hälfte beerbten. Das vorlegende Gericht führt aus, dass sich der der Ehegattin zugesprochene Erbteil aus der Anwendung des § 1931 Abs. 1 BGB ergebe, wonach der dem überlebenden Ehegatten zustehende gesetzliche Erbteil von einem Viertel um ein Viertel erhöht wird, wenn die Ehegatten im gesetzlichen Güterstand der Zugewinngemeinschaft nach § 1371 Abs. 1 BGB gelebt haben.</w:t>
      </w:r>
    </w:p>
    <w:p>
      <w:r>
        <w:rPr>
          <w:b/>
        </w:rPr>
        <w:t xml:space="preserve">Rn. 23</w:t>
      </w:r>
    </w:p>
    <w:p>
      <w:r>
        <w:t xml:space="preserve">Am 16. Juni 2016 beantragte Frau Mahnkopf bei einem Notar auch die Ausstellung eines Europäischen Nachlasszeugnisses nach der Verordnung Nr. 650/2012, in dem nach der gesetzlichen Erbfolge des nationalen Rechts ebenfalls sie und ihr Sohn als Miterben je zur Hälfte ausgewiesen sein sollten. Dieses Nachlasszeugnis wollte sie für die Umschreibung ihrer Eigentümerstellung an dem in Schweden gelegenen Grundstück verwenden. Der Notar legte Frau Mahnkopfs Antrag dem Amtsgericht Schöneberg vor.</w:t>
      </w:r>
    </w:p>
    <w:p>
      <w:r>
        <w:rPr>
          <w:b/>
        </w:rPr>
        <w:t xml:space="preserve">Rn. 24</w:t>
      </w:r>
    </w:p>
    <w:p>
      <w:r>
        <w:t xml:space="preserve">Dieses wies den Antrag auf Erteilung des Europäischen Nachlasszeugnisses mit der Begründung zurück, dass das Erbteil der Ehegattin des Verstorbenen, was ein Viertel des Nachlasses angehe, auf erbrechtlichen Bestimmungen beruhe und, was ein anderes Viertel des Nachlasses betreffe, auf der güterrechtlichen Regelung des § 1371 Abs. 1 BGB. Die Vorschrift, aufgrund deren dieses zuletzt genannte Viertel zugesprochen worden sei, gehöre jedoch zum ehelichen Güterrecht und nicht zum Erbrecht. Sie falle daher nicht in den Anwendungsbereich der Verordnung Nr. 650/2012.</w:t>
      </w:r>
    </w:p>
    <w:p>
      <w:r>
        <w:rPr>
          <w:b/>
        </w:rPr>
        <w:t xml:space="preserve">Rn. 25</w:t>
      </w:r>
    </w:p>
    <w:p>
      <w:r>
        <w:t xml:space="preserve">Frau Mahnkopf legte gegen diese Entscheidung Beschwerde beim Kammergericht (Berlin, Deutschland) ein. Darin hält sie an ihrem ursprünglichen Antrag fest; hilfsweise beantragt sie die Ausstellung eines Europäischen Nachlasszeugnisses, in dem zu informatorischen Zwecken darauf hingewiesen wird, dass ihre erbrechtlichen Ansprüche, soweit sie ein Viertel des Nachlasses betreffen, auf der Zugewinngemeinschaft beruhen.</w:t>
      </w:r>
    </w:p>
    <w:p>
      <w:r>
        <w:rPr>
          <w:b/>
        </w:rPr>
        <w:t xml:space="preserve">Rn. 26</w:t>
      </w:r>
    </w:p>
    <w:p>
      <w:r>
        <w:t xml:space="preserve">Das vorlegende Gericht führt aus, dass in der deutschen Literatur streitig sei, ob § 1371 Abs. 1 BGB als erbrechtliche oder als güterrechtliche Norm anzusehen sei. Der Zweck des § 1371 Abs. 1 BGB, den Ausgleich des ehelichen Zugewinns nach Beendigung der Gütergemeinschaft herbeizuführen, ende mit dem Tod eines Ehegatten, so dass es sich nicht um eine Rechtsnachfolge „von Todes wegen“ im Sinne von Art. 1 Abs. 1 der Verordnung Nr. 650/2012 handele. Die in dieser Bestimmung vorgesehene Regelung müsse immer dann angewandt werden, wenn die Ehewirkungen, einschließlich der Fragen des ehelichen Güterrechts, sich nach deutschem Recht richteten. Diese Anwendung sei nicht gewährleistet, wenn man diese Regelung als erbrechtliche Vorschrift ansähe, weil ihr Anwendungsbereich dann auf die Fälle beschränkt wäre, in denen sich die Rechtsnachfolge gemäß den Art. 21 und 22 der Verordnung Nr. 650/2012 nach deutschem Erbrecht bestimme.</w:t>
      </w:r>
    </w:p>
    <w:p>
      <w:r>
        <w:rPr>
          <w:b/>
        </w:rPr>
        <w:t xml:space="preserve">Rn. 27</w:t>
      </w:r>
    </w:p>
    <w:p>
      <w:r>
        <w:t xml:space="preserve">Außerdem fehle es an einer Harmonisierung der Vorschriften zum ehelichen Güterrecht auf Unionsebene, so dass der sich aus der Anwendung einer güterrechtlichen Regelung – vorliegend § 1371 Abs. 1 BGB – ergebende erhöhte gesetzliche Erbteil des überlebenden Ehegatten generell nicht, auch nicht zu rein informatorischen Zwecken, im Europäischen Nachlasszeugnis ausgewiesen werden könne.</w:t>
      </w:r>
    </w:p>
    <w:p>
      <w:r>
        <w:rPr>
          <w:b/>
        </w:rPr>
        <w:t xml:space="preserve">Rn. 28</w:t>
      </w:r>
    </w:p>
    <w:p>
      <w:r>
        <w:t xml:space="preserve">Dieser aufgrund einer güterrechtlichen Regelung erhöhte Erbteil könne jedoch dann im Europäischen Nachlasszeugnis angegeben werden, wenn das anzuwendende Erbrecht gemäß den Art. 21 und 22 der Verordnung Nr. 650/2012 sowie das für die Eheleute geltende Güterrecht – unabhängig davon, welches Kollisionsrecht zur Anwendung komme – nach dem Recht desselben Mitgliedstaats zu bestimmen seien. Im vorliegenden Fall richteten sich das auf den Erbfall anzuwendende Recht sowie das eheliche Güterrecht ausschließlich nach deutschem Recht.</w:t>
      </w:r>
    </w:p>
    <w:p>
      <w:r>
        <w:rPr>
          <w:b/>
        </w:rPr>
        <w:t xml:space="preserve">Rn. 29</w:t>
      </w:r>
    </w:p>
    <w:p>
      <w:r>
        <w:t xml:space="preserve">Gemäß den Ausführungen des vorlegenden Gerichts könnten die Formulierungen in Art. 67 Abs. 1 und Art. 69 Abs. 2 der Verordnung Nr. 650/2012, wonach der zu bescheinigende Sachverhalt nach dem auf die Rechtsnachfolge von Todes wegen anzuwendenden Recht „oder jedem anderen auf einen spezifischen Sachverhalt anzuwendenden Recht“ feststeht bzw. festgestellt wurde, für diese Auslegung sprechen. Eine solche Auslegung werde auch durch Satz 2 des zwölften Erwägungsgrundes der Verordnung Nr. 650/2012 sowie durch den Sinn und Zweck des Europäischen Nachlasszeugnisses gerechtfertigt, nämlich die grenzüberschreitende Durchsetzung erbrechtlicher Ansprüche zu vereinfachen und zu beschleunigen.</w:t>
      </w:r>
    </w:p>
    <w:p>
      <w:r>
        <w:rPr>
          <w:b/>
        </w:rPr>
        <w:t xml:space="preserve">Rn. 30</w:t>
      </w:r>
    </w:p>
    <w:p>
      <w:r>
        <w:t xml:space="preserve">Unter diesen Umständen hat das Kammergericht beschlossen, das Verfahren auszusetzen und dem Gerichtshof folgende Fragen zur Vorabentscheidung vorzulegen:</w:t>
      </w:r>
    </w:p>
    <w:p>
      <w:r>
        <w:t xml:space="preserve">1.</w:t>
      </w:r>
    </w:p>
    <w:p>
      <w:r>
        <w:t xml:space="preserve">Ist Art. 1 Abs. 1 der Verordnung Nr. 650/2012 dahin auszulegen, dass sich der Anwendungsbereich der Verordnung („von Todes wegen“) auch auf Bestimmungen des nationalen Rechts bezieht, die, wie § 1371 Abs. 1 BGB, güterrechtliche Fragen nach dem Tod eines Ehegatten durch Erhöhung des gesetzlichen Erbteils des anderen Ehegatten regeln?</w:t>
      </w:r>
    </w:p>
    <w:p>
      <w:r>
        <w:t xml:space="preserve">2.</w:t>
      </w:r>
    </w:p>
    <w:p>
      <w:r>
        <w:t xml:space="preserve">Sind, falls die Frage zu 1 verneint wird, jedenfalls Art. 68 Buchst. l und Art. 67 Abs. 1 der Verordnung Nr. 650/2012 dahin auszulegen, dass der Erbteil des überlebenden Ehegatten, auch wenn dieser zu einem Bruchteil aus einer Erhöhung aufgrund einer güterrechtlichen Regelung wie § 1371 Abs. 1 BGB resultiert, im Ganzen in das Europäische Nachlasszeugnis aufgenommen werden darf?</w:t>
      </w:r>
    </w:p>
    <w:p>
      <w:r>
        <w:t xml:space="preserve">Wenn dies im Grundsatz zu verneinen ist, kann dies dennoch ausnahmsweise für Sachverhalte bejaht werden, in denen</w:t>
      </w:r>
    </w:p>
    <w:p>
      <w:r>
        <w:t xml:space="preserve">a)</w:t>
      </w:r>
    </w:p>
    <w:p>
      <w:r>
        <w:t xml:space="preserve">das Nachlasszeugnis auf den Zweck beschränkt ist, Rechte der Erben in einem bestimmten anderen Mitgliedstaat an dort befindlichen Vermögen des Erblassers geltend zu machen, und</w:t>
      </w:r>
    </w:p>
    <w:p>
      <w:r>
        <w:t xml:space="preserve">b)</w:t>
      </w:r>
    </w:p>
    <w:p>
      <w:r>
        <w:t xml:space="preserve">die Entscheidung in Erbsachen (Art. 4 und 21 der Verordnung Nr. 650/2012) und – unabhängig, welches Kollisionsrecht angewendet wird – die Fragen des ehelichen Güterrechts nach derselben nationalen Rechtsordnung zu beurteilen sind?</w:t>
      </w:r>
    </w:p>
    <w:p>
      <w:r>
        <w:t xml:space="preserve">3.</w:t>
      </w:r>
    </w:p>
    <w:p>
      <w:r>
        <w:t xml:space="preserve">Ist, falls die Fragen zu 1 und zu 2 insgesamt verneint werden, Art. 68 Buchst. l der Verordnung Nr. 650/2012 dahin auszulegen, dass der aufgrund der güterrechtlichen Regelung erhöhte Erbteil des überlebenden Ehegatten insgesamt – wegen der Erhöhung dann aber nur informatorisch – in das Europäische Nachlasszeugnis aufgenommen werden darf?</w:t>
      </w:r>
    </w:p>
    <w:p>
      <w:r>
        <w:t xml:space="preserve">Zu den Vorlagefragen</w:t>
      </w:r>
    </w:p>
    <w:p>
      <w:r>
        <w:t xml:space="preserve">Zur ersten Frage</w:t>
      </w:r>
    </w:p>
    <w:p>
      <w:r>
        <w:rPr>
          <w:b/>
        </w:rPr>
        <w:t xml:space="preserve">Rn. 31</w:t>
      </w:r>
    </w:p>
    <w:p>
      <w:r>
        <w:t xml:space="preserve">Mit seiner ersten Frage möchte das vorlegende Gericht wissen, ob Art. 1 Abs. 1 der Verordnung Nr. 650/2012 dahin auszulegen ist, dass eine nationale Bestimmung wie die im Ausgangsverfahren in Rede stehende, wonach beim Tod eines Ehegatten ein pauschaler Zugewinnausgleich durch Erhöhung des Erbteils des überlebenden Ehegatten vorzunehmen ist, in den Anwendungsbereich der Richtlinie fällt.</w:t>
      </w:r>
    </w:p>
    <w:p>
      <w:r>
        <w:rPr>
          <w:b/>
        </w:rPr>
        <w:t xml:space="preserve">Rn. 32</w:t>
      </w:r>
    </w:p>
    <w:p>
      <w:r>
        <w:t xml:space="preserve">Vorab ist darauf hinzuweisen, dass nach ständiger Rechtsprechung des Gerichtshofs aus den Erfordernissen sowohl der einheitlichen Anwendung des Unionsrechts als auch des Gleichheitssatzes folgt, dass die Begriffe einer Vorschrift des Unionsrechts, die für die Ermittlung ihres Sinnes und ihrer Bedeutung nicht ausdrücklich auf das Recht der Mitgliedstaaten verweist, in der Regel in der gesamten Union eine autonome und einheitliche Auslegung erhalten müssen (Urteil vom 18. Oktober 2016, Nikiforidis, C‑135/15, EU:C:2016:774, Rn. 28 und die dort angeführte Rechtsprechung), die unter Berücksichtigung nicht nur ihres Wortlauts, sondern auch des Kontexts der Vorschrift und des mit der fraglichen Regelung verfolgten Ziels gefunden werden muss (vgl. u. a. Urteil vom 18. Mai 2017, Hummel Holding, C‑617/15, EU:C:2017:390, Rn. 22 und die dort angeführte Rechtsprechung).</w:t>
      </w:r>
    </w:p>
    <w:p>
      <w:r>
        <w:rPr>
          <w:b/>
        </w:rPr>
        <w:t xml:space="preserve">Rn. 33</w:t>
      </w:r>
    </w:p>
    <w:p>
      <w:r>
        <w:t xml:space="preserve">Die Verordnung Nr. 650/2012 ist gemäß dem Wortlaut ihres Art. 1 Abs. 1 auf die Rechtsnachfolge von Todes wegen anzuwenden. In Art. 1 Abs. 2 der Verordnung werden abschließend die Bereiche aufgezählt, die von ihrem Anwendungsbereich ausgenommen sind; dazu gehören gemäß Buchst. d dieser Vorschrift u. a. die „Fragen des ehelichen Güterrechts“. Art. 3 Abs. 1 Buchst. a dieser Verordnung stellt klar, dass die Rechtsnachfolge von Todes wegen „jede Form des Übergangs von Vermögenswerten, Rechten und Pflichten von Todes wegen, sei es im Wege der gewillkürten Erbfolge durch eine Verfügung von Todes wegen oder im Wege der gesetzlichen Erbfolge“, umfasst.</w:t>
      </w:r>
    </w:p>
    <w:p>
      <w:r>
        <w:rPr>
          <w:b/>
        </w:rPr>
        <w:t xml:space="preserve">Rn. 34</w:t>
      </w:r>
    </w:p>
    <w:p>
      <w:r>
        <w:t xml:space="preserve">Außerdem geht aus dem neunten Erwägungsgrund der Verordnung Nr. 650/2012 hervor, dass sich ihr Anwendungsbereich auf alle zivilrechtlichen Aspekte der Rechtsnachfolge von Todes wegen erstrecken sollte.</w:t>
      </w:r>
    </w:p>
    <w:p>
      <w:r>
        <w:rPr>
          <w:b/>
        </w:rPr>
        <w:t xml:space="preserve">Rn. 35</w:t>
      </w:r>
    </w:p>
    <w:p>
      <w:r>
        <w:t xml:space="preserve">Gemäß ihrem siebten Erwägungsgrund soll die Verordnung Nr. 650/2012 die Hindernisse für den freien Verkehr von Personen bei der Durchsetzung ihrer Rechte im Zusammenhang mit einem Erbfall mit grenzüberschreitendem Bezug ausräumen, um das reibungslose Funktionieren des Binnenmarkts zu erleichtern. Insbesondere müssen im europäischen Rechtsraum die Rechte der Erben und Vermächtnisnehmer sowie der anderen Personen, die dem Erblasser nahestehen, und der Nachlassgläubiger effektiv gewahrt werden.</w:t>
      </w:r>
    </w:p>
    <w:p>
      <w:r>
        <w:rPr>
          <w:b/>
        </w:rPr>
        <w:t xml:space="preserve">Rn. 36</w:t>
      </w:r>
    </w:p>
    <w:p>
      <w:r>
        <w:t xml:space="preserve">Hierfür sieht die Verordnung Nr. 650/2012 die Einführung eines Europäischen Nachlasszeugnisses vor, das es jedem Erben, Vermächtnisnehmer oder in diesem Zeugnis genannten Rechtsnachfolger ermöglichen muss, in einem anderen Mitgliedstaat seine Rechtsstellung und seine Erbansprüche nachzuweisen (vgl. in diesem Sinne Urteil vom 12. Oktober 2017, Kubicka, C‑218/16, EU:C:2017:755, Rn. 59).</w:t>
      </w:r>
    </w:p>
    <w:p>
      <w:r>
        <w:rPr>
          <w:b/>
        </w:rPr>
        <w:t xml:space="preserve">Rn. 37</w:t>
      </w:r>
    </w:p>
    <w:p>
      <w:r>
        <w:t xml:space="preserve">Zum Kontext der in Rede stehenden Vorschrift ist festzustellen, dass die Verordnung Nr. 650/2012 gemäß ihren Erwägungsgründen 11 und 12 nicht für Bereiche des Zivilrechts gelten sollte, die nicht die Rechtsnachfolge von Todes wegen betreffen, und insbesondere nicht für Fragen des ehelichen Güterrechts, einschließlich der in einigen Rechtsordnungen vorkommenden Eheverträge, soweit diese keine erbrechtlichen Fragen regeln.</w:t>
      </w:r>
    </w:p>
    <w:p>
      <w:r>
        <w:rPr>
          <w:b/>
        </w:rPr>
        <w:t xml:space="preserve">Rn. 38</w:t>
      </w:r>
    </w:p>
    <w:p>
      <w:r>
        <w:t xml:space="preserve">Vorliegend geht aus dem Vorabentscheidungsersuchen hervor, dass nach § 1371 Abs. 1 BGB im Fall einer Beendigung der Zugewinngemeinschaft der gesetzliche Erbteil des überlebenden Ehegatten beim Zugewinnausgleich um ein Viertel der Erbschaft erhöht wird.</w:t>
      </w:r>
    </w:p>
    <w:p>
      <w:r>
        <w:rPr>
          <w:b/>
        </w:rPr>
        <w:t xml:space="preserve">Rn. 39</w:t>
      </w:r>
    </w:p>
    <w:p>
      <w:r>
        <w:t xml:space="preserve">Die deutsche Regierung hat in ihren Erklärungen darauf hingewiesen, dass diese die Auseinandersetzung einer ehelichen Gütergemeinschaft betreffende Vorschrift des nationalen Rechts ausschließlich bei Auflösung der Ehe durch den Tod eines Ehegatten anzuwenden ist. So solle eine pauschale güterrechtliche Auseinandersetzung des während der Ehe erwirtschafteten Vermögens dadurch erfolgen, dass der sich aus der Beendigung der Zugewinngemeinschaft durch den Tod eines Ehegatten ergebende Nachteil ausgeglichen wird, ohne dass es einer exakten Feststellung über Bestand und Wert des Anfangs- und des Endvermögens bedürfe.</w:t>
      </w:r>
    </w:p>
    <w:p>
      <w:r>
        <w:rPr>
          <w:b/>
        </w:rPr>
        <w:t xml:space="preserve">Rn. 40</w:t>
      </w:r>
    </w:p>
    <w:p>
      <w:r>
        <w:t xml:space="preserve">Wie der Generalanwalt in den Nrn. 78 und 93 seiner Schlussanträge ausgeführt hat, betrifft § 1371 Abs. 1 BGB gemäß den dem Gerichtshof vorliegenden Informationen nicht die Aufteilung der Vermögenswerte zwischen den Ehegatten, sondern die Rechte des überlebenden Ehegatten an den Gegenständen, die schon zum Nachlassvermögen gezählt werden. Unter diesen Umständen scheint der Hauptzweck der Bestimmung nicht in der Aufteilung des Vermögens oder in der Beendigung des ehelichen Güterstands, sondern vielmehr in der Bestimmung des dem überlebenden Ehegatten im Verhältnis zu den übrigen Erben zufallenden Erbteils zu liegen. Eine solche Vorschrift betrifft daher in erster Linie die Rechtsnachfolge nach dem Tod eines Ehegatten und nicht das eheliche Güterrecht. Folglich bezieht sich eine nationale Regelung wie die im Ausgangsverfahren in Rede stehende auf Erbsachen im Sinne der Verordnung Nr. 650/2012.</w:t>
      </w:r>
    </w:p>
    <w:p>
      <w:r>
        <w:rPr>
          <w:b/>
        </w:rPr>
        <w:t xml:space="preserve">Rn. 41</w:t>
      </w:r>
    </w:p>
    <w:p>
      <w:r>
        <w:t xml:space="preserve">Im Übrigen steht auch der Anwendungsbereich der Verordnung 2016/1103 einer solchen Auslegung nicht entgegen. Obwohl diese Verordnung erlassen wurde, um – wie aus ihrem 18. Erwägungsgrund hervorgeht – alle zivilrechtlichen Aspekte der ehelichen Güterstände abzudecken, die sowohl die Verwaltung des Vermögens der Ehegatten im Alltag betreffen als auch die güterrechtliche Auseinandersetzung, insbesondere infolge der Trennung des Paares oder des Todes eines Ehegatten, ist „die Rechtsnachfolge nach dem Tod eines Ehegatten“ gemäß ihrem Art. 1 Abs. 2 Buchst. d ausdrücklich von ihrem Anwendungsbereich der Verordnung ausgenommen.</w:t>
      </w:r>
    </w:p>
    <w:p>
      <w:r>
        <w:rPr>
          <w:b/>
        </w:rPr>
        <w:t xml:space="preserve">Rn. 42</w:t>
      </w:r>
    </w:p>
    <w:p>
      <w:r>
        <w:t xml:space="preserve">Schließlich können, wie der Generalanwalt in Nr. 102 seiner Schlussanträge ausgeführt hat, wenn der dem überlebenden Ehegatten gemäß einer nationalen Bestimmung wie § 1371 Abs. 1 BGB zufallende Anteil dem Erbrecht zugeordnet wird, Angaben zu diesem Anteil in das Europäische Nachlasszeugnis mit allen in Art. 69 der Verordnung Nr. 650/2012 genannten Wirkungen aufgenommen werden. Gemäß Art. 69 Abs. 1 dieser Verordnung entfaltet das Europäische Nachlasszeugnis Wirkungen in allen Mitgliedstaaten, ohne dass es eines besonderen Verfahrens bedarf. Nach Art. 69 Abs. 2 wird vermutet, dass die Person, die im Zeugnis als Vermächtnisnehmer genannt ist, die in dem Zeugnis genannte Rechtsstellung und die in dem Zeugnis aufgeführten Rechte hat und dass diese Rechte keinen anderen als den im Zeugnis aufgeführten Bedingungen und/oder Beschränkungen unterliegen (Urteil vom 12. Oktober 2017, Kubicka, C‑218/16, EU:C:2017:755, Rn. 60).</w:t>
      </w:r>
    </w:p>
    <w:p>
      <w:r>
        <w:rPr>
          <w:b/>
        </w:rPr>
        <w:t xml:space="preserve">Rn. 43</w:t>
      </w:r>
    </w:p>
    <w:p>
      <w:r>
        <w:t xml:space="preserve">Somit ist festzustellen, dass die Erreichung der mit dem Europäischen Nachlasszeugnis verfolgten Ziele in einer Situation wie der im Ausgangsverfahren in Rede stehenden erheblich beeinträchtigt würde, wenn in diesem Zeugnis nicht alle Informationen betreffend die Ansprüche des überlebenden Ehegatten am Nachlass enthalten wären.</w:t>
      </w:r>
    </w:p>
    <w:p>
      <w:r>
        <w:rPr>
          <w:b/>
        </w:rPr>
        <w:t xml:space="preserve">Rn. 44</w:t>
      </w:r>
    </w:p>
    <w:p>
      <w:r>
        <w:t xml:space="preserve">Nach alldem ist die erste Frage dahin zu beantworten, dass Art. 1 Abs. 1 der Verordnung Nr. 650/2012 dahin auszulegen ist, dass eine nationale Bestimmung wie die im Ausgangsverfahren in Rede stehende, wonach beim Tod eines Ehegatten ein pauschaler Zugewinnausgleich durch Erhöhung des Erbteils des überlebenden Ehegatten vorzunehmen ist, in den Anwendungsbereich der Verordnung fällt.</w:t>
      </w:r>
    </w:p>
    <w:p>
      <w:r>
        <w:t xml:space="preserve">Zur zweiten und zur dritten Frage</w:t>
      </w:r>
    </w:p>
    <w:p>
      <w:r>
        <w:rPr>
          <w:b/>
        </w:rPr>
        <w:t xml:space="preserve">Rn. 45</w:t>
      </w:r>
    </w:p>
    <w:p>
      <w:r>
        <w:t xml:space="preserve">Angesichts der Beantwortung der ersten Frage erübrigt sich eine Antwort auf die zweite und die dritte Frage.</w:t>
      </w:r>
    </w:p>
    <w:p>
      <w:r>
        <w:t xml:space="preserve">Kosten</w:t>
      </w:r>
    </w:p>
    <w:p>
      <w:r>
        <w:rPr>
          <w:b/>
        </w:rPr>
        <w:t xml:space="preserve">Rn. 46</w:t>
      </w:r>
    </w:p>
    <w:p>
      <w:r>
        <w:t xml:space="preserve">Für die Parteien des Ausgangsverfahrens ist das Verfahren ein Zwischenstreit in dem bei dem vorlegenden Gericht anhängigen Rechtsstreit; die Kostenentscheidung ist daher Sache dieses Gerichts. Die Auslagen anderer Beteiligter für die Abgabe von Erklärungen vor dem Gerichtshof sind nicht erstattungsfähig.</w:t>
      </w:r>
    </w:p>
    <w:p>
      <w:r>
        <w:t xml:space="preserve">Aus diesen Gründen hat der Gerichtshof (Zweite Kammer) für Recht erkannt:</w:t>
      </w:r>
    </w:p>
    <w:p>
      <w:r>
        <w:t xml:space="preserve">Art. 1 Abs. 1 der Verordnung (EU) Nr. 650/2012 des Europäischen Parlaments und des Rates vom 4. Juli 2012 über die Zuständigkeit, das anzuwendende Recht, die Anerkennung und Vollstreckung von Entscheidungen und die Annahme und Vollstreckung öffentlicher Urkunden in Erbsachen sowie zur Einführung eines Europäischen Nachlasszeugnisses ist dahin auszulegen, dass eine nationale Bestimmung wie die im Ausgangsverfahren in Rede stehende, wonach beim Tod eines Ehegatten ein pauschaler Zugewinnausgleich durch Erhöhung des Erbteils des überlebenden Ehegatten vorzunehmen ist, in den Anwendungsbereich der Verordnung fällt.</w:t>
      </w:r>
    </w:p>
    <w:p>
      <w:r>
        <w:t xml:space="preserve">Ilešič</w:t>
      </w:r>
    </w:p>
    <w:p>
      <w:r>
        <w:t xml:space="preserve">Rosas</w:t>
      </w:r>
    </w:p>
    <w:p>
      <w:r>
        <w:t xml:space="preserve">Toader</w:t>
      </w:r>
    </w:p>
    <w:p>
      <w:r>
        <w:t xml:space="preserve">Prechal</w:t>
      </w:r>
    </w:p>
    <w:p>
      <w:r>
        <w:t xml:space="preserve">Jarašiūnas</w:t>
      </w:r>
    </w:p>
    <w:p>
      <w:r>
        <w:t xml:space="preserve">Verkündet in öffentlicher Sitzung in Luxemburg am 1. März 2018.</w:t>
      </w:r>
    </w:p>
    <w:p>
      <w:r>
        <w:t xml:space="preserve">Der Kanzler</w:t>
      </w:r>
    </w:p>
    <w:p>
      <w:r>
        <w:t xml:space="preserve">A. Calot Escobar</w:t>
      </w:r>
    </w:p>
    <w:p>
      <w:r>
        <w:t xml:space="preserve">Der Präsident der Zweiten Kammer</w:t>
      </w:r>
    </w:p>
    <w:p>
      <w:r>
        <w:t xml:space="preserve">M. Ilešič</w:t>
      </w:r>
    </w:p>
    <w:p>
      <w:r>
        <w:t xml:space="preserve">( *1 ) Verfahrenssprache: Deutsch.</w:t>
      </w:r>
    </w:p>
    <w:p>
      <w:r>
        <w:rPr>
          <w:color w:val="555555"/>
          <w:sz w:val="17"/>
        </w:rPr>
        <w:t xml:space="preserve">Zitiervorschlag: Europäischer Gerichtshof, Urteil vom 01.03.2018 – C-558/16, ECLI:EU:C:2018:138</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https://recht.nulegal.eu/rechtsprechung/eugh/2018-03-01/c-558-16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01.03.2018 – C-558/16</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