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Europäischer Gerichtshof, Urteil vom 05.03.2009 – C-479/07</w:t>
      </w:r>
    </w:p>
    <w:p>
      <w:r>
        <w:rPr>
          <w:color w:val="555555"/>
          <w:sz w:val="18"/>
        </w:rPr>
        <w:t xml:space="preserve">ECLI:EU:C:2009:131</w:t>
      </w:r>
    </w:p>
    <w:p>
      <w:pPr>
        <w:pStyle w:val="Heading2"/>
      </w:pPr>
      <w:r>
        <w:t xml:space="preserve">Leitsatz</w:t>
      </w:r>
    </w:p>
    <w:p>
      <w:r>
        <w:t xml:space="preserve">Die Klage wird abgewiesen. Die Französische Republik trägt die Kosten. Die Kommission der Europäischen Gemeinschaften trägt ihre eigenen Kosten.</w:t>
      </w:r>
    </w:p>
    <w:p>
      <w:r>
        <w:t xml:space="preserve">Verfahrensgegenstand Tenor</w:t>
      </w:r>
    </w:p>
    <w:p>
      <w:r>
        <w:t xml:space="preserve">Verfahrensgegenstand</w:t>
      </w:r>
    </w:p>
    <w:p>
      <w:r>
        <w:t xml:space="preserve">Gegenstand</w:t>
      </w:r>
    </w:p>
    <w:p>
      <w:r>
        <w:t xml:space="preserve">Nichtigkeitsklage – Nichtigerklärung der Verordnung (EG) Nr. 809/2007 des Rates vom 28. Juni 2007 zur Änderung der Verordnungen (EG) Nr. 894/97, (EG) Nr. 812/2004 und (EG) Nr. 2187/2005 hinsichtlich Treibnetzen (ABl. L 182, S. 1) – Begriff „Treibnetz“ – Einbeziehung stabil gehaltener Netze wie der sogenannten Thonaille in diesen Begriff – Verstoß gegen die Begründungspflicht, den Grundsatz der Verhältnismäßigkeit und das Diskriminierungsverbot</w:t>
      </w:r>
    </w:p>
    <w:p>
      <w:pPr>
        <w:pStyle w:val="Heading2"/>
      </w:pPr>
      <w:r>
        <w:t xml:space="preserve">Tenor</w:t>
      </w:r>
    </w:p>
    <w:p>
      <w:pPr>
        <w:pStyle w:val="Heading2"/>
      </w:pPr>
      <w:r>
        <w:t xml:space="preserve">Tenor</w:t>
      </w:r>
    </w:p>
    <w:p>
      <w:r>
        <w:t xml:space="preserve">1 Die Klage wird abgewiesen.</w:t>
      </w:r>
    </w:p>
    <w:p>
      <w:r>
        <w:t xml:space="preserve">2 Die Französische Republik trägt die Kosten.</w:t>
      </w:r>
    </w:p>
    <w:p>
      <w:r>
        <w:t xml:space="preserve">3 Die Kommission der Europäischen Gemeinschaften trägt ihre eigenen Kosten.</w:t>
      </w:r>
    </w:p>
    <w:p>
      <w:r>
        <w:rPr>
          <w:color w:val="555555"/>
          <w:sz w:val="17"/>
        </w:rPr>
        <w:t xml:space="preserve">Zitiervorschlag: Europäischer Gerichtshof, Urteil vom 05.03.2009 – C-479/07, ECLI:EU:C:2009:131</w:t>
      </w:r>
    </w:p>
    <w:p>
      <w:r>
        <w:rPr>
          <w:color w:val="555555"/>
          <w:sz w:val="17"/>
        </w:rPr>
        <w:t xml:space="preserve">Quelle: curia.europa.eu, abgerufen 28.07.2026</w:t>
      </w:r>
    </w:p>
    <w:p>
      <w:r>
        <w:rPr>
          <w:color w:val="555555"/>
          <w:sz w:val="17"/>
        </w:rPr>
        <w:t xml:space="preserve">Nicht-amtliche Fassung — maßgeblich ist die Fassung in der Verfahrenssprache (CURIA: https://curia.europa.eu)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https://recht.nulegal.eu/rechtsprechung/eugh/2009-03-05/c-479-07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Maßgebliche Fassung: curia.europa.eu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Europäischer Gerichtshof, Urteil vom 05.03.2009 – C-479/07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