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Europäischer Gerichtshof, Urteil vom 05.10.2006 – C-226/05</w:t>
      </w:r>
    </w:p>
    <w:p>
      <w:r>
        <w:rPr>
          <w:color w:val="555555"/>
          <w:sz w:val="18"/>
        </w:rPr>
        <w:t xml:space="preserve">ECLI:EU:C:2006:650</w:t>
      </w:r>
    </w:p>
    <w:p>
      <w:pPr>
        <w:pStyle w:val="Heading2"/>
      </w:pPr>
      <w:r>
        <w:t xml:space="preserve">Leitsatz</w:t>
      </w:r>
    </w:p>
    <w:p>
      <w:r>
        <w:t xml:space="preserve">Die Republik Österreich hat dadurch gegen ihre Verpflichtungen aus der Richtlinie 96/82/EG des Rates vom 9. Dezember 1996 zur Beherrschung der Gefahren bei schweren Unfällen mit gefährlichen Stoffen verstoßen, dass sie innerhalb der vorgeschriebenen Frist – für den Bereich des Schieß- und Sprengmittelgesetzes des Bundes sowie des Elektrizitätswirtschaftsgesetzes des Landes Salzburg keine Vorschriften zur Umsetzung der Richtlinie erlassen, – Artikel 11 der Richtlinie in den Ländern Salzburg, Steiermark und Tirol nicht umgesetzt, – Artikel 12 der Richtlinie im Land Oberösterreich nicht umgesetzt und – Artikel 8 Absatz 2 Buchstabe b der Richtlinie in den Ländern Oberösterreich, Salzburg und Tirol nicht umgesetzt hat. Die Republik Österreich trägt die Kosten.</w:t>
      </w:r>
    </w:p>
    <w:p>
      <w:r>
        <w:t xml:space="preserve">Verfahrensgegenstand Tenor</w:t>
      </w:r>
    </w:p>
    <w:p>
      <w:r>
        <w:t xml:space="preserve">Verfahrensgegenstand</w:t>
      </w:r>
    </w:p>
    <w:p>
      <w:r>
        <w:t xml:space="preserve">Gegenstand</w:t>
      </w:r>
    </w:p>
    <w:p>
      <w:r>
        <w:t xml:space="preserve">Vertragsverletzung eines Mitgliedstaats – Unvollständige Umsetzung der Artikel 8 Absatz 2 Buchstabe b, 11, 12 und 24 Absatz 1 der Richtlinie 96/82/EG des Rates vom 9. Dezember 1996 zur Beherrschung der Gefahren bei schweren Unfällen mit gefährlichen Stoffen (ABl. L 10, S. 13)</w:t>
      </w:r>
    </w:p>
    <w:p>
      <w:pPr>
        <w:pStyle w:val="Heading2"/>
      </w:pPr>
      <w:r>
        <w:t xml:space="preserve">Tenor</w:t>
      </w:r>
    </w:p>
    <w:p>
      <w:pPr>
        <w:pStyle w:val="Heading2"/>
      </w:pPr>
      <w:r>
        <w:t xml:space="preserve">Tenor</w:t>
      </w:r>
    </w:p>
    <w:p>
      <w:r>
        <w:t xml:space="preserve">1 Die Republik Österreich hat dadurch gegen ihre Verpflichtungen aus der Richtlinie 96/82/EG des Rates vom 9. Dezember 1996 zur Beherrschung der Gefahren bei schweren Unfällen mit gefährlichen Stoffen verstoßen, dass sie innerhalb der vorgeschriebenen Frist</w:t>
      </w:r>
    </w:p>
    <w:p>
      <w:r>
        <w:t xml:space="preserve">– für den Bereich des Schieß- und Sprengmittelgesetzes des Bundes sowie des Elektrizitätswirtschaftsgesetzes des Landes Salzburg keine Vorschriften zur Umsetzung der Richtlinie erlassen,</w:t>
      </w:r>
    </w:p>
    <w:p>
      <w:r>
        <w:t xml:space="preserve">– Artikel 11 der Richtlinie in den Ländern Salzburg, Steiermark und Tirol nicht umgesetzt,</w:t>
      </w:r>
    </w:p>
    <w:p>
      <w:r>
        <w:t xml:space="preserve">– Artikel 12 der Richtlinie im Land Oberösterreich nicht umgesetzt und</w:t>
      </w:r>
    </w:p>
    <w:p>
      <w:r>
        <w:t xml:space="preserve">– Artikel 8 Absatz 2 Buchstabe b der Richtlinie in den Ländern Oberösterreich, Salzburg und Tirol nicht umgesetzt hat.</w:t>
      </w:r>
    </w:p>
    <w:p>
      <w:r>
        <w:t xml:space="preserve">2 Die Republik Österreich trägt die Kosten.</w:t>
      </w:r>
    </w:p>
    <w:p>
      <w:r>
        <w:rPr>
          <w:color w:val="555555"/>
          <w:sz w:val="17"/>
        </w:rPr>
        <w:t xml:space="preserve">Zitiervorschlag: Europäischer Gerichtshof, Urteil vom 05.10.2006 – C-226/05, ECLI:EU:C:2006:650</w:t>
      </w:r>
    </w:p>
    <w:p>
      <w:r>
        <w:rPr>
          <w:color w:val="555555"/>
          <w:sz w:val="17"/>
        </w:rPr>
        <w:t xml:space="preserve">Quelle: curia.europa.eu, abgerufen 27.07.2026</w:t>
      </w:r>
    </w:p>
    <w:p>
      <w:r>
        <w:rPr>
          <w:color w:val="555555"/>
          <w:sz w:val="17"/>
        </w:rPr>
        <w:t xml:space="preserve">Nicht-amtliche Fassung — maßgeblich ist die Fassung in der Verfahrenssprache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https://recht.nulegal.eu/rechtsprechung/eugh/2006-10-05/c-226-05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Maßgebliche Fassung: curia.europa.eu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Europäischer Gerichtshof, Urteil vom 05.10.2006 – C-226/05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