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Europäischer Gerichtshof, Beschluss vom 13.07.2006 – C-166/06</w:t>
      </w:r>
    </w:p>
    <w:p>
      <w:r>
        <w:rPr>
          <w:color w:val="555555"/>
          <w:sz w:val="18"/>
        </w:rPr>
        <w:t xml:space="preserve">ECLI:EU:C:2006:485</w:t>
      </w:r>
    </w:p>
    <w:p>
      <w:pPr>
        <w:pStyle w:val="Heading2"/>
      </w:pPr>
      <w:r>
        <w:t xml:space="preserve">Leitsatz</w:t>
      </w:r>
    </w:p>
    <w:p>
      <w:r>
        <w:t xml:space="preserve">Das vom Tribunale civile di Bolzano mit Entscheidung vom 4. Januar 2006 vorgelegte Vorabentscheidungsersuchen ist unzulässig.</w:t>
      </w:r>
    </w:p>
    <w:p>
      <w:r>
        <w:t xml:space="preserve">Verfahrensgegenstand Tenor</w:t>
      </w:r>
    </w:p>
    <w:p>
      <w:r>
        <w:t xml:space="preserve">Verfahrensgegenstand</w:t>
      </w:r>
    </w:p>
    <w:p>
      <w:r>
        <w:t xml:space="preserve">Gegenstand</w:t>
      </w:r>
    </w:p>
    <w:p>
      <w:r>
        <w:t xml:space="preserve">Vorabentscheidungsersuchen des Tribunale civile di Bolzano – Auslegung von Artikel 6 Absatz 2 des Vertrages über die Europäische Union – Gebietskörperschaft, die Rechtsvorschriften erlässt, die die Durchführung der rechtskräftigen Entscheidung eines Verwaltungsgerichts behindern können – Vereinbarkeit mit dem Gemeinschaftsrecht</w:t>
      </w:r>
    </w:p>
    <w:p>
      <w:pPr>
        <w:pStyle w:val="Heading2"/>
      </w:pPr>
      <w:r>
        <w:t xml:space="preserve">Tenor</w:t>
      </w:r>
    </w:p>
    <w:p>
      <w:pPr>
        <w:pStyle w:val="Heading2"/>
      </w:pPr>
      <w:r>
        <w:t xml:space="preserve">Tenor</w:t>
      </w:r>
    </w:p>
    <w:p>
      <w:r>
        <w:t xml:space="preserve">Das vom Tribunale civile di Bolzano mit Entscheidung vom 4. Januar 2006 vorgelegte Vorabentscheidungsersuchen ist unzulässig.</w:t>
      </w:r>
    </w:p>
    <w:p>
      <w:r>
        <w:rPr>
          <w:color w:val="555555"/>
          <w:sz w:val="17"/>
        </w:rPr>
        <w:t xml:space="preserve">Zitiervorschlag: Europäischer Gerichtshof, Beschluss vom 13.07.2006 – C-166/06, ECLI:EU:C:2006:485</w:t>
      </w:r>
    </w:p>
    <w:p>
      <w:r>
        <w:rPr>
          <w:color w:val="555555"/>
          <w:sz w:val="17"/>
        </w:rPr>
        <w:t xml:space="preserve">Quelle: curia.europa.eu, abgerufen 28.07.2026</w:t>
      </w:r>
    </w:p>
    <w:p>
      <w:r>
        <w:rPr>
          <w:color w:val="555555"/>
          <w:sz w:val="17"/>
        </w:rPr>
        <w:t xml:space="preserve">Nicht-amtliche Fassung — maßgeblich ist die Fassung in der Verfahrenssprache (CURIA: https://curia.europa.eu)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https://recht.nulegal.eu/rechtsprechung/eugh/2006-07-13/c-166-06</w:t>
      </w:r>
    </w:p>
    <w:p>
      <w:r>
        <w:rPr>
          <w:color w:val="767676"/>
          <w:sz w:val="15"/>
        </w:rPr>
        <w:t xml:space="preserve">nu:legal · recht.nulegal.eu · Nicht-amtliche Fassung. Maßgebliche Fassung: curia.europa.eu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