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BVerfG, Einstweilige Anordnung vom 28.07.2026 – 2 BvQ 53/26</w:t>
      </w:r>
    </w:p>
    <w:p>
      <w:r>
        <w:rPr>
          <w:color w:val="555555"/>
          <w:sz w:val="18"/>
        </w:rPr>
        <w:t xml:space="preserve">2. Senat 2. Kammer</w:t>
      </w:r>
    </w:p>
    <w:p>
      <w:r>
        <w:rPr>
          <w:color w:val="555555"/>
          <w:sz w:val="18"/>
        </w:rPr>
        <w:t xml:space="preserve">ECLI:DE:BVerfG:2026:qk20260728.2bvq005326</w:t>
      </w:r>
    </w:p>
    <w:p>
      <w:pPr>
        <w:pStyle w:val="Heading2"/>
      </w:pPr>
      <w:r>
        <w:t xml:space="preserve">Tenor</w:t>
      </w:r>
    </w:p>
    <w:p>
      <w:r>
        <w:t xml:space="preserve">Die Zwangsvollstreckung aus dem Versäumnisurteil des Amtsgerichts Friedberg (Hessen) - 2 C 444/25 - vom 3. Juli 2025 wird einstweilen bis zur Entscheidung über die noch einzulegende Verfassungsbeschwerde, längstens für die Dauer von sechs Monaten, ausgesetzt.</w:t>
      </w:r>
    </w:p>
    <w:p>
      <w:r>
        <w:t xml:space="preserve">Die Begründung der Entscheidung wird den Beteiligten gemäß § 32 Absatz 5 Satz 2 Bundesverfassungsgerichtsgesetz gesondert übermittelt.</w:t>
      </w:r>
    </w:p>
    <w:p>
      <w:r>
        <w:rPr>
          <w:color w:val="555555"/>
          <w:sz w:val="17"/>
        </w:rPr>
        <w:t xml:space="preserve">Zitiervorschlag: BVerfG, Einstweilige Anordnung vom 28.07.2026 – 2 BvQ 53/26, ECLI:DE:BVerfG:2026:qk20260728.2bvq005326</w:t>
      </w:r>
    </w:p>
    <w:p>
      <w:r>
        <w:rPr>
          <w:color w:val="555555"/>
          <w:sz w:val="17"/>
        </w:rPr>
        <w:t xml:space="preserve">Quelle: rechtsprechung-im-internet.de, abgerufen 19.08.2026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https://recht.nulegal.eu/rechtsprechung/bverfg/2026-07-28/2-bvq-53-26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