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07.05.2014 – 4 StR 95/14</w:t>
      </w:r>
    </w:p>
    <w:p>
      <w:r>
        <w:rPr>
          <w:color w:val="555555"/>
          <w:sz w:val="18"/>
        </w:rPr>
        <w:t xml:space="preserve">4. Strafsenat</w:t>
      </w:r>
    </w:p>
    <w:p>
      <w:pPr>
        <w:pStyle w:val="Heading2"/>
      </w:pPr>
      <w:r>
        <w:t xml:space="preserve">Tenor</w:t>
      </w:r>
    </w:p>
    <w:p>
      <w:r>
        <w:t xml:space="preserve">1. Auf die Revision des Angeklagten B. gegen das Urteil des Landgerichts Essen vom 25. November 2013 werden die Schuldsprüche im Fall II.3. b der Urteilsgründe dahin geändert, dass der Angeklagte der gewerbsmäßigen Hehlerei sowie der Urkundenfälschung in Tateinheit mit versuchtem Betrug schuldig ist.</w:t>
      </w:r>
    </w:p>
    <w:p>
      <w:r>
        <w:t xml:space="preserve">2. Die weiter gehende Revision des Angeklagten B. und die Revision des Angeklagten I. werden verworfen.</w:t>
      </w:r>
    </w:p>
    <w:p>
      <w:r>
        <w:t xml:space="preserve">3. Jeder Beschwerdeführer hat die Kosten seines Rechtsmittels zu tragen.</w:t>
      </w:r>
    </w:p>
    <w:p>
      <w:pPr>
        <w:pStyle w:val="Heading2"/>
      </w:pPr>
      <w:r>
        <w:t xml:space="preserve">Gründe</w:t>
      </w:r>
    </w:p>
    <w:p>
      <w:r>
        <w:rPr>
          <w:b/>
        </w:rPr>
        <w:t xml:space="preserve">Rn. 1</w:t>
      </w:r>
    </w:p>
    <w:p>
      <w:r>
        <w:t xml:space="preserve">Das Landgericht hat den Angeklagten B. wegen gewerbsmäßiger Hehlerei in 16 Fällen, davon in zwei Fällen in Tateinheit mit Urkundenfälschung und mit Betrug, wegen Urkundenfälschung in 14 Fällen, davon in drei Fällen in Tateinheit mit Betrug und in zwei Fällen in Tateinheit mit versuchtem Betrug, und wegen Fahrens ohne Fahrerlaubnis zu der Gesamtfreiheitsstrafe von fünf Jahren und sechs Monaten verurteilt. Ferner hat es die Verwaltungsbehörde angewiesen, diesem Angeklagten vor Ablauf von zwei Jahren keine Fahrerlaubnis zu erteilen. Den Angeklagten I. hat es wegen gewerbsmäßiger Hehlerei in zehn Fällen und wegen Urkundenfälschung in neun Fällen, davon in drei Fällen in Tateinheit mit Betrug und in einem Fall in Tateinheit mit versuchtem Betrug, zu der Gesamtfreiheitsstrafe von vier Jahren verurteilt. Mit ihren hiergegen gerichteten Revisionen beanstanden die Angeklagten die Verletzung materiellen Rechts; der Angeklagte B. erhebt darüber hinaus die (unausgeführte) Verfahrensrüge. Die Revision des Angeklagten B. erzielt mit der Sachrüge den aus der Entscheidungsformel ersichtlichen Teilerfolg; im Übrigen ist dieses Rechtsmittel ebenso wie die Revision des Angeklagten I. unbegründet im Sinne des § 349 Abs. 2 StPO.</w:t>
      </w:r>
    </w:p>
    <w:p>
      <w:r>
        <w:rPr>
          <w:b/>
        </w:rPr>
        <w:t xml:space="preserve">Rn. 2</w:t>
      </w:r>
    </w:p>
    <w:p>
      <w:r>
        <w:t xml:space="preserve">1. Nach den Feststellungen zum Fall II.3.b der Urteilsgründe erwarb der Angeklagte B. für 2.500 € einen zuvor in Frankreich entwendeten Pkw in Kenntnis dessen deliktischer Herkunft. Er beschaffte sich Blanko-Unterlagen und stellte gefälschte Fahrzeugpapiere her. Anschließend bemühte er sich im Internet um Kaufinteressenten, die er mit Hilfe der gefälschten Papiere über die illegale Herkunft des Fahrzeugs täuschen wollte. In seinem Auftrag führte ein Bekannter unter dem Decknamen „M. E. " ein Verkaufsgespräch am 17. April 2013. Den Kaufinteressenten fielen jedoch Unstimmigkeiten an den (gefälschten) Fahrzeugpapieren auf, so dass sie von dem Kauf Abstand nahmen. Auf Grund der Anzeige im Internet meldete sich ein weiterer Interessent. Bei einem Treffen mit „M. E. " am 21. April 2013 fielen jedoch auch ihm Unstimmigkeiten an den vorgelegten Papieren auf. Als der Interessent darauf- hin ein Telefonat führen wollte, ergriff „M. E. " die Flucht.</w:t>
      </w:r>
    </w:p>
    <w:p>
      <w:r>
        <w:rPr>
          <w:b/>
        </w:rPr>
        <w:t xml:space="preserve">Rn. 3</w:t>
      </w:r>
    </w:p>
    <w:p>
      <w:r>
        <w:t xml:space="preserve">Das Landgericht hat den Angeklagten B. wegen gewerbsmäßiger Hehlerei gemäß § 260 Abs. 1 Nr. 1 StGB in Form des Ankaufens zu der Einzelfreiheitsstrafe von einem Jahr und acht Monaten verurteilt. Tatmehrheitlich hierzu hat es ihn für den ersten Verkaufsversuch wegen (gewerbsmäßiger) Urkundenfälschung gemäß § 267 Abs. 1 und 3 Satz 2 Nr. 1 StGB in Tateinheit mit versuchtem (gewerbsmäßigem) Betrug gemäß §§ 22, 23 Abs. 1, § 263 Abs. 1 und 3 Satz 2 Nr. 1 StGB zu der weiteren Einzelfreiheitsstrafe von einem Jahr und sechs Monaten verurteilt. Wegen des zweiten Verkaufsversuchs hat es den Angeklagten ein weiteres Mal der (gewerbsmäßigen) Urkundenfälschung in Tateinheit mit versuchtem (gewerbsmäßigem) Betrug schuldig gesprochen und ihn zu der weiteren Einzelfreiheitsstrafe von einem Jahr und acht Monaten verurteilt.</w:t>
      </w:r>
    </w:p>
    <w:p>
      <w:r>
        <w:rPr>
          <w:b/>
        </w:rPr>
        <w:t xml:space="preserve">Rn. 4</w:t>
      </w:r>
    </w:p>
    <w:p>
      <w:r>
        <w:t xml:space="preserve">2. Die Würdigung der beiden Verkaufsversuche als selbständige Taten hält sachlich-rechtlicher Nachprüfung nicht stand. In beiden Fällen machte „M. E. " von den zuvor vom Angeklagten B. gefälschten Fahrzeugpapieren Gebrauch. Wird eine gefälschte Urkunde dem ursprünglichen Tatplan entsprechend mehrfach gebraucht, liegt indes nur eine Urkundenfälschung vor (BGH, Beschluss vom 7. Februar 2012 - 3 StR 406/11 mwN). Der Angeklagte hat sich daher im Fall II.3.b der Urteilsgründe nur wegen einer (gewerbsmäßigen) Urkundenfälschung strafbar gemacht. Diese Urkundenfälschung verklammert den zweimaligen Betrugsversuch zur Tateinheit.</w:t>
      </w:r>
    </w:p>
    <w:p>
      <w:r>
        <w:rPr>
          <w:b/>
        </w:rPr>
        <w:t xml:space="preserve">Rn. 5</w:t>
      </w:r>
    </w:p>
    <w:p>
      <w:r>
        <w:t xml:space="preserve">3. Der Senat schließt aus, dass ein neues Tatgericht Feststellungen treffen könnte, die eine Verurteilung wegen zweier materiell-rechtlich selbständiger Taten der Urkundenfälschung tragen könnte. Er ändert den Schuldspruch in entsprechender Anwendung von § 354 Abs. 1 StPO selbst ab. § 265 StPO steht nicht entgegen; denn der geständige Angeklagte hätte sich gegen den geänderten Tatvorwurf nicht wirksamer als geschehen verteidigen können.</w:t>
      </w:r>
    </w:p>
    <w:p>
      <w:r>
        <w:rPr>
          <w:b/>
        </w:rPr>
        <w:t xml:space="preserve">Rn. 6</w:t>
      </w:r>
    </w:p>
    <w:p>
      <w:r>
        <w:t xml:space="preserve">Der Senat hat davon abgesehen, die gleichartige Tateinheit zwischen den beiden Betrugsversuchen in der Urteilsformel zum Ausdruck zu bringen (§ 260 Abs. 4 Satz 5 StPO; vgl. BGH, Beschluss vom 13. September 2010 - 1 StR 220/09 wistra 2010, 484, 492, Rn. 69 mwN).</w:t>
      </w:r>
    </w:p>
    <w:p>
      <w:r>
        <w:rPr>
          <w:b/>
        </w:rPr>
        <w:t xml:space="preserve">Rn. 7</w:t>
      </w:r>
    </w:p>
    <w:p>
      <w:r>
        <w:t xml:space="preserve">4. Damit entfällt die weitere Einzelstrafe von einem Jahr und acht Monaten wegen des zweiten Verkaufsversuchs. Mit Blick auf die bestehen bleibende Einsatzstrafe (ein Jahr und zehn Monate Freiheitsstrafe) sowie die Vielzahl und Höhe der weiteren Einzelfreiheitsstrafen schließt der Senat aus, dass das Tatgericht bei zutreffender rechtlicher Würdigung der Konkurrenzen im Fall II.3.b der Urteilsgründe auf eine geringere Gesamtfreiheitsstrafe gegen den Angeklagten B. erkannt hätte; diese hat deshalb ebenfalls Bestand.</w:t>
      </w:r>
    </w:p>
    <w:p>
      <w:r>
        <w:rPr>
          <w:b/>
        </w:rPr>
        <w:t xml:space="preserve">Rn. 8</w:t>
      </w:r>
    </w:p>
    <w:p>
      <w:r>
        <w:t xml:space="preserve">5. Mit Blick auf den nur geringen Teilerfolg der Revision ist es nicht unbillig, den Angeklagten B. mit den gesamten durch sein Rechtsmittel entstandenen Kosten und Auslagen zu belasten (§ 473 Abs. 1 und 4 StPO).</w:t>
      </w:r>
    </w:p>
    <w:p>
      <w:r>
        <w:rPr>
          <w:b/>
        </w:rPr>
        <w:t xml:space="preserve">Rn. 9</w:t>
      </w:r>
    </w:p>
    <w:p>
      <w:r>
        <w:t xml:space="preserve">6. Die Revision des Angeklagten I. gegen das vorbezeichnete Urteil ist unbegründet, da die Nachprüfung des Urteils auf Grund der Revisionsrechtfertigung keinen Rechtsfehler zum Nachteil dieses Angeklagten ergeben hat (§ 349 Abs. 2 StPO).</w:t>
      </w:r>
    </w:p>
    <w:p>
      <w:r>
        <w:t xml:space="preserve">Sost-Scheible Cierniak Franke</w:t>
      </w:r>
    </w:p>
    <w:p>
      <w:r>
        <w:t xml:space="preserve">Mutzbauer Bender</w:t>
      </w:r>
    </w:p>
    <w:p>
      <w:r>
        <w:rPr>
          <w:color w:val="555555"/>
          <w:sz w:val="17"/>
        </w:rPr>
        <w:t xml:space="preserve">Zitiervorschlag: BGH, Beschluss vom 07.05.2014 – 4 StR 95/14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https://recht.nulegal.eu/rechtsprechung/bgh/2014-05-07/4-str-95-14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