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25.11.2009 – 2 StR 465/09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StR 465/09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25. November 2009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gefährlicher Körperverletzung u. a.</w:t>
      </w:r>
    </w:p>
    <w:p>
      <w:r>
        <w:t xml:space="preserve">Der 2. Strafsenat des Bundesgerichtshofs hat auf Antrag des Generalbundes-</w:t>
      </w:r>
    </w:p>
    <w:p>
      <w:r>
        <w:t xml:space="preserve">anwalts und nach Anhörung des Beschwerdeführers am 25. November 2009</w:t>
      </w:r>
    </w:p>
    <w:p>
      <w:r>
        <w:t xml:space="preserve">gemäß § 349 Abs. 2 StPO beschlossen:</w:t>
      </w:r>
    </w:p>
    <w:p>
      <w:r>
        <w:t xml:space="preserve">Die Revision des Angeklagten gegen das Urteil des Landgerichts</w:t>
      </w:r>
    </w:p>
    <w:p>
      <w:r>
        <w:t xml:space="preserve">Kassel vom 13. Juli 2009 wird als unbegründet verworfen, da die</w:t>
      </w:r>
    </w:p>
    <w:p>
      <w:r>
        <w:t xml:space="preserve">Nachprüfung des Urteils auf Grund der Revisionsrechtfertigung</w:t>
      </w:r>
    </w:p>
    <w:p>
      <w:r>
        <w:t xml:space="preserve">keinen Rechtsfehler zum Nachteil des Angeklagten ergeben hat.</w:t>
      </w:r>
    </w:p>
    <w:p>
      <w:r>
        <w:t xml:space="preserve">Der Beschwerdeführer hat die Kosten des Rechtsmittels zu tra-</w:t>
      </w:r>
    </w:p>
    <w:p>
      <w:r>
        <w:t xml:space="preserve">gen.</w:t>
      </w:r>
    </w:p>
    <w:p>
      <w:r>
        <w:t xml:space="preserve">Ergänzend bemerkt der Senat:</w:t>
      </w:r>
    </w:p>
    <w:p>
      <w:r>
        <w:t xml:space="preserve">Die Gesamtstrafenbildung des Landgerichts ist rechtsfehlerhaft. Der Tat-</w:t>
      </w:r>
    </w:p>
    <w:p>
      <w:r>
        <w:t xml:space="preserve">richter hat wegen der neuen Taten rechtsfehlerfrei Einzelstrafen von einem Jahr</w:t>
      </w:r>
    </w:p>
    <w:p>
      <w:r>
        <w:t xml:space="preserve">und fünf Monaten und von 90 Tagessätzen zu 5 € verhängt und den Angeklag-</w:t>
      </w:r>
    </w:p>
    <w:p>
      <w:r>
        <w:t xml:space="preserve">ten "unter Einbeziehung der Freiheitsstrafe von fünf Monaten aus dem Urteil</w:t>
      </w:r>
    </w:p>
    <w:p>
      <w:r>
        <w:t xml:space="preserve">des Amtsgerichts Kassel vom 10.05.2007 (…) und der Freiheitsstrafe von acht</w:t>
      </w:r>
    </w:p>
    <w:p>
      <w:r>
        <w:t xml:space="preserve">Monaten aus dem Urteil des Amtsgerichts Kassel vom 24.01.2008" zur Gesamt-</w:t>
      </w:r>
    </w:p>
    <w:p>
      <w:r>
        <w:t xml:space="preserve">freiheitsstrafe von zwei Jahren und einem Monat verurteilt.</w:t>
      </w:r>
    </w:p>
    <w:p>
      <w:r>
        <w:t xml:space="preserve">Bei den genannten Strafen handelte es sich jedoch ihrerseits jeweils um</w:t>
      </w:r>
    </w:p>
    <w:p>
      <w:r>
        <w:t xml:space="preserve">(nachträgliche) Gesamtstrafen. Bei einer nachträglichen Gesamtstrafenbildung</w:t>
      </w:r>
    </w:p>
    <w:p>
      <w:r>
        <w:t xml:space="preserve">sind aber die Einzelstrafen aus einbeziehungsfähigen früheren Entscheidungen</w:t>
      </w:r>
    </w:p>
    <w:p>
      <w:r>
        <w:t xml:space="preserve">einzubeziehen, frühere Gesamtstrafen sind ggf. aufzulösen (vgl. Fischer StGB</w:t>
      </w:r>
    </w:p>
    <w:p>
      <w:r>
        <w:t xml:space="preserve">56. Aufl. § 55 Rn. 8, 15). Zudem hat das Landgericht hier übersehen, dass der</w:t>
      </w:r>
    </w:p>
    <w:p>
      <w:r>
        <w:t xml:space="preserve">Verurteilung vom 10. Mai 2007 Zäsurwirkung zukam, da nur die damals abgeur-</w:t>
      </w:r>
    </w:p>
    <w:p>
      <w:r>
        <w:t xml:space="preserve">teilten Taten vom 21. Dezember 2006 und 9. Februar 2007, die dem Strafbefehl</w:t>
      </w:r>
    </w:p>
    <w:p>
      <w:r>
        <w:t xml:space="preserve">vom 4. Dezember 2006 zugrunde liegende Tat und die jetzt neu abgeurteilten</w:t>
      </w:r>
    </w:p>
    <w:p>
      <w:r>
        <w:t xml:space="preserve">Taten vor dem Zeitpunkt dieses Urteils begangen wurden. Die Einzelstrafen aus</w:t>
      </w:r>
    </w:p>
    <w:p>
      <w:r>
        <w:t xml:space="preserve">der Verurteilung vom 24. Januar 2008 waren daher nicht einbeziehungsfähig;</w:t>
      </w:r>
    </w:p>
    <w:p>
      <w:r>
        <w:t xml:space="preserve">die Gesamtstrafe von acht Monaten hätte gesondert bestehen bleiben müssen</w:t>
      </w:r>
    </w:p>
    <w:p>
      <w:r>
        <w:t xml:space="preserve">(vgl. Fischer aaO § 55 Rn. 9, 11).</w:t>
      </w:r>
    </w:p>
    <w:p>
      <w:r>
        <w:t xml:space="preserve">Zutreffend hat aber der Generalbundesanwalt darauf hingewiesen, dass</w:t>
      </w:r>
    </w:p>
    <w:p>
      <w:r>
        <w:t xml:space="preserve">eine Beschwer des Angeklagten durch den Rechtsfehler hier ausgeschlossen</w:t>
      </w:r>
    </w:p>
    <w:p>
      <w:r>
        <w:t xml:space="preserve">ist. Bei zutreffender Anwendung der §§ 54, 55 StGB hätte die Einsatzstrafe von</w:t>
      </w:r>
    </w:p>
    <w:p>
      <w:r>
        <w:t xml:space="preserve">einem Jahr und fünf Monaten mindestens um einen Monat erhöht werden müs-</w:t>
      </w:r>
    </w:p>
    <w:p>
      <w:r>
        <w:t xml:space="preserve">sen. Bei Aufrechterhaltung der weiteren Gesamtstrafe von acht Monaten hätte</w:t>
      </w:r>
    </w:p>
    <w:p>
      <w:r>
        <w:t xml:space="preserve">das Gesamtstrafübel daher zwingend mindestens zwei Jahre und zwei Monate</w:t>
      </w:r>
    </w:p>
    <w:p>
      <w:r>
        <w:t xml:space="preserve">- statt, wie vom Landgericht verhängt, zwei Jahre und einen Monat - betragen.</w:t>
      </w:r>
    </w:p>
    <w:p>
      <w:r>
        <w:t xml:space="preserve">Es kann hier auch sicher ausgeschlossen werden, dass eine unter zwei</w:t>
      </w:r>
    </w:p>
    <w:p>
      <w:r>
        <w:t xml:space="preserve">Jahren liegende neue Gesamtstrafe zur Bewährung ausgesetzt worden wäre.</w:t>
      </w:r>
    </w:p>
    <w:p>
      <w:r>
        <w:t xml:space="preserve">Schon in den zurückliegenden Verurteilungen des vielfach vorbestraften Ange-</w:t>
      </w:r>
    </w:p>
    <w:p>
      <w:r>
        <w:t xml:space="preserve">klagten ist eine günstige Sozialprognose nicht bejaht worden; eine frühere</w:t>
      </w:r>
    </w:p>
    <w:p>
      <w:r>
        <w:t xml:space="preserve">Strafaussetzung musste widerrufen werden. Der Tatrichter hat bei der Strafzu-</w:t>
      </w:r>
    </w:p>
    <w:p>
      <w:r>
        <w:t xml:space="preserve">messung zutreffend auf die hohe Rückfallgeschwindigkeit und die Steigerung</w:t>
      </w:r>
    </w:p>
    <w:p>
      <w:r>
        <w:t xml:space="preserve">der Gewalttätigkeit des Angeklagten hingewiesen (UA S. 33). Eine Strafausset-</w:t>
      </w:r>
    </w:p>
    <w:p>
      <w:r>
        <w:t xml:space="preserve">zung wäre daher nicht in Betracht gekommen.</w:t>
      </w:r>
    </w:p>
    <w:p>
      <w:r>
        <w:t xml:space="preserve">Fischer Roggenbuck Appl</w:t>
      </w:r>
    </w:p>
    <w:p>
      <w:r>
        <w:t xml:space="preserve">RiBGH Cierniak ist wegen Urlaubs an der Unterschrifts- leistung gehindert.</w:t>
      </w:r>
    </w:p>
    <w:p>
      <w:r>
        <w:t xml:space="preserve">Fischer Schmitt</w:t>
      </w:r>
    </w:p>
    <w:p>
      <w:r>
        <w:rPr>
          <w:color w:val="555555"/>
          <w:sz w:val="17"/>
        </w:rPr>
        <w:t xml:space="preserve">Zitiervorschlag: BGH, Beschluss vom 25.11.2009 – 2 StR 465/09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https://recht.nulegal.eu/rechtsprechung/bgh/2009-11-25/2-str-465-09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