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22.10.2008 – XII ZR 148/06</w:t>
      </w:r>
    </w:p>
    <w:p>
      <w:r>
        <w:rPr>
          <w:color w:val="555555"/>
          <w:sz w:val="18"/>
        </w:rPr>
        <w:t xml:space="preserve">XII. Zivilsenat</w:t>
      </w:r>
    </w:p>
    <w:p>
      <w:pPr>
        <w:pStyle w:val="Heading2"/>
      </w:pPr>
      <w:r>
        <w:t xml:space="preserve">Leitsatz</w:t>
      </w:r>
    </w:p>
    <w:p>
      <w:r>
        <w:t xml:space="preserve">Verkündet am: 22. Oktober 2008 Küpferle, Justizamtsinspektorin als Urkundsbeamtin der Geschäftsstelle BGB §§ 535 Abs. 1, 280 Abs. 1 Satz 2 Zur Darlegungs- und Beweislast für die Verletzung der mietvertraglichen Fürsorge- pflicht durch den Vermieter.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XII ZR 148/06</w:t>
      </w:r>
    </w:p>
    <w:p>
      <w:pPr>
        <w:pStyle w:val="Heading2"/>
      </w:pPr>
      <w:r>
        <w:t xml:space="preserve">URTEIL</w:t>
      </w:r>
    </w:p>
    <w:p>
      <w:r>
        <w:t xml:space="preserve">in dem Rechtsstreit</w:t>
      </w:r>
    </w:p>
    <w:p>
      <w:r>
        <w:t xml:space="preserve">Nachschlagewerk: ja</w:t>
      </w:r>
    </w:p>
    <w:p>
      <w:r>
        <w:t xml:space="preserve">BGHZ:</w:t>
      </w:r>
    </w:p>
    <w:p>
      <w:r>
        <w:t xml:space="preserve">BGHR:</w:t>
      </w:r>
    </w:p>
    <w:p>
      <w:r>
        <w:t xml:space="preserve">nein</w:t>
      </w:r>
    </w:p>
    <w:p>
      <w:r>
        <w:t xml:space="preserve">ja</w:t>
      </w:r>
    </w:p>
    <w:p>
      <w:r>
        <w:t xml:space="preserve">Verkündet am: 22. Oktober 2008 Küpferle, Justizamtsinspektorin als Urkundsbeamtin der Geschäftsstelle</w:t>
      </w:r>
    </w:p>
    <w:p>
      <w:r>
        <w:t xml:space="preserve">BGB §§ 535 Abs. 1, 280 Abs. 1 Satz 2</w:t>
      </w:r>
    </w:p>
    <w:p>
      <w:r>
        <w:t xml:space="preserve">Zur Darlegungs- und Beweislast für die Verletzung der mietvertraglichen Fürsorge-</w:t>
      </w:r>
    </w:p>
    <w:p>
      <w:r>
        <w:t xml:space="preserve">pflicht durch den Vermieter.</w:t>
      </w:r>
    </w:p>
    <w:p>
      <w:r>
        <w:t xml:space="preserve">BGH, Urteil vom 22. Oktober 2008 - XII ZR 148/06 - OLG Dresden LG Dresden</w:t>
      </w:r>
    </w:p>
    <w:p>
      <w:r>
        <w:t xml:space="preserve">Der XII. Zivilsenat des Bundesgerichtshofs hat auf die mündliche Verhandlung</w:t>
      </w:r>
    </w:p>
    <w:p>
      <w:r>
        <w:t xml:space="preserve">vom 22. Oktober 2008 durch die Vorsitzende Richterin Dr. Hahne, den Richter</w:t>
      </w:r>
    </w:p>
    <w:p>
      <w:r>
        <w:t xml:space="preserve">Fuchs, die Richterin Dr. Vézina sowie die Richter Dose und Dr. Klinkhammer</w:t>
      </w:r>
    </w:p>
    <w:p>
      <w:r>
        <w:t xml:space="preserve">für Recht erkannt:</w:t>
      </w:r>
    </w:p>
    <w:p>
      <w:r>
        <w:t xml:space="preserve">Auf die Revision des Klägers wird das Urteil des 13. Zivilsenats</w:t>
      </w:r>
    </w:p>
    <w:p>
      <w:r>
        <w:t xml:space="preserve">des Oberlandesgerichts Dresden vom 3. August 2006 aufgeho-</w:t>
      </w:r>
    </w:p>
    <w:p>
      <w:r>
        <w:t xml:space="preserve">ben.</w:t>
      </w:r>
    </w:p>
    <w:p>
      <w:r>
        <w:t xml:space="preserve">Die Sache wird zur erneuten Verhandlung und Entscheidung,</w:t>
      </w:r>
    </w:p>
    <w:p>
      <w:r>
        <w:t xml:space="preserve">auch über die Kosten des Revisionsverfahrens, an das Oberlan-</w:t>
      </w:r>
    </w:p>
    <w:p>
      <w:r>
        <w:t xml:space="preserve">desgericht zurückverwiesen.</w:t>
      </w:r>
    </w:p>
    <w:p>
      <w:r>
        <w:t xml:space="preserve">Von Rechts wegen</w:t>
      </w:r>
    </w:p>
    <w:p>
      <w:pPr>
        <w:pStyle w:val="Heading2"/>
      </w:pPr>
      <w:r>
        <w:t xml:space="preserve">Tatbestand</w:t>
      </w:r>
    </w:p>
    <w:p>
      <w:r>
        <w:rPr>
          <w:b/>
        </w:rPr>
        <w:t xml:space="preserve">Rn. 2</w:t>
      </w:r>
    </w:p>
    <w:p>
      <w:r>
        <w:t xml:space="preserve">Die Parteien streiten um Schadensersatzansprüche im Zusammenhang</w:t>
      </w:r>
    </w:p>
    <w:p>
      <w:r>
        <w:t xml:space="preserve">mit der Vermietung von Fahrzeugstellplätzen.</w:t>
      </w:r>
    </w:p>
    <w:p>
      <w:r>
        <w:t xml:space="preserve">Der Beklagte zu 1 vermietete dem Kläger Teilbereiche einer Scheune</w:t>
      </w:r>
    </w:p>
    <w:p>
      <w:r>
        <w:t xml:space="preserve">zum Unterstellen von Fahrzeugen. Der Kläger stellte in der Scheune sechs ei-</w:t>
      </w:r>
    </w:p>
    <w:p>
      <w:r>
        <w:t xml:space="preserve">gene und sechs Fahrzeuge (Oldtimer) anderer Eigentümer ab. Der Beklagte</w:t>
      </w:r>
    </w:p>
    <w:p>
      <w:r>
        <w:t xml:space="preserve">zu 1 richtete selbst in der Scheune eine Arbeitsbühne ein. Am 27. März 2003</w:t>
      </w:r>
    </w:p>
    <w:p>
      <w:r>
        <w:t xml:space="preserve">reparierte er dort sein Fahrzeug vom Typ Seat Terra an einer Bremstrommel.</w:t>
      </w:r>
    </w:p>
    <w:p>
      <w:r>
        <w:t xml:space="preserve">Während der Reparatur geriet das Fahrzeug in Brand. Das Feuer griff auf die</w:t>
      </w:r>
    </w:p>
    <w:p>
      <w:r>
        <w:t xml:space="preserve">Scheune über und zerstörte die Scheune und auch die untergestellten Fahr-</w:t>
      </w:r>
    </w:p>
    <w:p>
      <w:r>
        <w:t xml:space="preserve">zeuge.</w:t>
      </w:r>
    </w:p>
    <w:p>
      <w:r>
        <w:rPr>
          <w:b/>
        </w:rPr>
        <w:t xml:space="preserve">Rn. 3</w:t>
      </w:r>
    </w:p>
    <w:p>
      <w:r>
        <w:t xml:space="preserve">Der Kläger nimmt aus eigenem und abgetretenem Recht der weiteren</w:t>
      </w:r>
    </w:p>
    <w:p>
      <w:r>
        <w:t xml:space="preserve">Fahrzeugeigentümer den Beklagten zu 1 als Verursacher und die Beklagte zu 2</w:t>
      </w:r>
    </w:p>
    <w:p>
      <w:r>
        <w:t xml:space="preserve">als dessen Haftpflichtversicherer auf Schadensersatz in Höhe von 38.592 € in</w:t>
      </w:r>
    </w:p>
    <w:p>
      <w:r>
        <w:t xml:space="preserve">Anspruch. Die Parteien streiten darüber, ob der Beklagte zu 1 den Schaden</w:t>
      </w:r>
    </w:p>
    <w:p>
      <w:r>
        <w:t xml:space="preserve">schuldhaft verursacht hat. Das Landgericht hat dazu Beweis erhoben und hat</w:t>
      </w:r>
    </w:p>
    <w:p>
      <w:r>
        <w:t xml:space="preserve">die Beklagten im Wesentlichen antragsgemäß zum Schadensersatz verurteilt.</w:t>
      </w:r>
    </w:p>
    <w:p>
      <w:r>
        <w:t xml:space="preserve">Das Berufungsgericht hat auf die Berufung der Beklagten ergänzend Beweis</w:t>
      </w:r>
    </w:p>
    <w:p>
      <w:r>
        <w:t xml:space="preserve">erhoben und die Klage abgewiesen.</w:t>
      </w:r>
    </w:p>
    <w:p>
      <w:r>
        <w:rPr>
          <w:b/>
        </w:rPr>
        <w:t xml:space="preserve">Rn. 4</w:t>
      </w:r>
    </w:p>
    <w:p>
      <w:r>
        <w:t xml:space="preserve">Mit der - vom Senat zugelassenen - Revision verfolgt der Kläger seine</w:t>
      </w:r>
    </w:p>
    <w:p>
      <w:r>
        <w:t xml:space="preserve">zweitinstanzlich gestellten Schlussanträge weiter.</w:t>
      </w:r>
    </w:p>
    <w:p>
      <w:pPr>
        <w:pStyle w:val="Heading2"/>
      </w:pPr>
      <w:r>
        <w:t xml:space="preserve">Entscheidungsgründe</w:t>
      </w:r>
    </w:p>
    <w:p>
      <w:r>
        <w:rPr>
          <w:b/>
        </w:rPr>
        <w:t xml:space="preserve">Rn. 5</w:t>
      </w:r>
    </w:p>
    <w:p>
      <w:r>
        <w:t xml:space="preserve">Die Revision ist begründet. Sie führt zur Aufhebung des angefochtenen</w:t>
      </w:r>
    </w:p>
    <w:p>
      <w:r>
        <w:t xml:space="preserve">Urteils und Zurückverweisung des Rechtsstreits an das Berufungsgericht.</w:t>
      </w:r>
    </w:p>
    <w:p>
      <w:r>
        <w:t xml:space="preserve">I.</w:t>
      </w:r>
    </w:p>
    <w:p>
      <w:r>
        <w:rPr>
          <w:b/>
        </w:rPr>
        <w:t xml:space="preserve">Rn. 6</w:t>
      </w:r>
    </w:p>
    <w:p>
      <w:r>
        <w:t xml:space="preserve">Das Berufungsgericht hat Ansprüche auf Schadensersatz wegen Man-</w:t>
      </w:r>
    </w:p>
    <w:p>
      <w:r>
        <w:t xml:space="preserve">gelhaftigkeit der Mietsache aus § 536 a Abs. 1 BGB verneint. Ein Anspruch we-</w:t>
      </w:r>
    </w:p>
    <w:p>
      <w:r>
        <w:t xml:space="preserve">gen fehlender Brandschutzvorrichtungen (Brandschutzwände, Sprinklereinrich-</w:t>
      </w:r>
    </w:p>
    <w:p>
      <w:r>
        <w:t xml:space="preserve">tung) sei gemäß § 536 b Satz 2 BGB ausgeschlossen, weil das Fehlen derarti-</w:t>
      </w:r>
    </w:p>
    <w:p>
      <w:r>
        <w:t xml:space="preserve">ger Einrichtungen bei Vertragsschluss erkennbar gewesen sei und der Beklagte</w:t>
      </w:r>
    </w:p>
    <w:p>
      <w:r>
        <w:t xml:space="preserve">zu 1, auch wenn ein Feuerlöscher vorhanden gewesen wäre, als Laie den</w:t>
      </w:r>
    </w:p>
    <w:p>
      <w:r>
        <w:t xml:space="preserve">Brand nicht "in den Griff bekommen" hätte.</w:t>
      </w:r>
    </w:p>
    <w:p>
      <w:r>
        <w:rPr>
          <w:b/>
        </w:rPr>
        <w:t xml:space="preserve">Rn. 7</w:t>
      </w:r>
    </w:p>
    <w:p>
      <w:r>
        <w:t xml:space="preserve">Die Einrichtung einer Werkstatt als solche habe ersichtlich nicht zu dem</w:t>
      </w:r>
    </w:p>
    <w:p>
      <w:r>
        <w:t xml:space="preserve">Brandereignis geführt. Hinsichtlich der durchgeführten Reparatur der Brems-</w:t>
      </w:r>
    </w:p>
    <w:p>
      <w:r>
        <w:t xml:space="preserve">trommel sei jedenfalls ein Ursachenzusammenhang nicht bewiesen. Das Ein-</w:t>
      </w:r>
    </w:p>
    <w:p>
      <w:r>
        <w:t xml:space="preserve">bringen eines Bauscheinwerfers stelle für sich genommen keinen Mangel der</w:t>
      </w:r>
    </w:p>
    <w:p>
      <w:r>
        <w:t xml:space="preserve">Mietsache dar. Dass der Scheinwerfer während der Reparatur angeschaltet und</w:t>
      </w:r>
    </w:p>
    <w:p>
      <w:r>
        <w:t xml:space="preserve">deshalb erhitzt gewesen sei, so dass er als Brandauslöser in Betracht komme,</w:t>
      </w:r>
    </w:p>
    <w:p>
      <w:r>
        <w:t xml:space="preserve">habe der Kläger nicht nachweisen können. Der Kläger trage die Beweislast für</w:t>
      </w:r>
    </w:p>
    <w:p>
      <w:r>
        <w:t xml:space="preserve">die Pflichtverletzung des Beklagten zu 1 durch die Benutzung des Scheinwer-</w:t>
      </w:r>
    </w:p>
    <w:p>
      <w:r>
        <w:t xml:space="preserve">fers und ihre Kausalität für den Brand. Erst wenn die Ursächlichkeit bewiesen</w:t>
      </w:r>
    </w:p>
    <w:p>
      <w:r>
        <w:t xml:space="preserve">sei, sei es Sache des Vermieters, sich hinsichtlich des Verschuldens zu entlas-</w:t>
      </w:r>
    </w:p>
    <w:p>
      <w:r>
        <w:t xml:space="preserve">ten, soweit die Schadensursache aus seinem Gefahrenbereich hervorgegangen</w:t>
      </w:r>
    </w:p>
    <w:p>
      <w:r>
        <w:t xml:space="preserve">sei. Soweit der Bundesgerichtshof eine noch weitergehende Beweislastumkehr</w:t>
      </w:r>
    </w:p>
    <w:p>
      <w:r>
        <w:t xml:space="preserve">(auch für die Kausalität) angenommen habe, fehle es im vorliegenden Fall an</w:t>
      </w:r>
    </w:p>
    <w:p>
      <w:r>
        <w:t xml:space="preserve">der Voraussetzung, dass die vom Beklagten zu 1 benutzte Fläche dem Einblick</w:t>
      </w:r>
    </w:p>
    <w:p>
      <w:r>
        <w:t xml:space="preserve">des Klägers verschlossen gewesen sei.</w:t>
      </w:r>
    </w:p>
    <w:p>
      <w:r>
        <w:rPr>
          <w:b/>
        </w:rPr>
        <w:t xml:space="preserve">Rn. 8</w:t>
      </w:r>
    </w:p>
    <w:p>
      <w:r>
        <w:t xml:space="preserve">Dem Beklagten zu 1 könne auch kein Vorwurf daraus gemacht werden,</w:t>
      </w:r>
    </w:p>
    <w:p>
      <w:r>
        <w:t xml:space="preserve">dass er sein Fahrzeug in der Scheune abgestellt habe, obwohl er nach dem</w:t>
      </w:r>
    </w:p>
    <w:p>
      <w:r>
        <w:t xml:space="preserve">Volltanken jeweils für einen Tag Benzingeruch festgestellt habe. Er sei nicht</w:t>
      </w:r>
    </w:p>
    <w:p>
      <w:r>
        <w:t xml:space="preserve">gehalten gewesen, das Fahrzeug in einer Werkstatt untersuchen zu lassen. Der</w:t>
      </w:r>
    </w:p>
    <w:p>
      <w:r>
        <w:t xml:space="preserve">Benzingeruch könne seine Ursache in Unachtsamkeiten beim Tankvorgang</w:t>
      </w:r>
    </w:p>
    <w:p>
      <w:r>
        <w:t xml:space="preserve">gehabt haben. Nur die Missachtung eines länger andauernden Benzingeruchs</w:t>
      </w:r>
    </w:p>
    <w:p>
      <w:r>
        <w:t xml:space="preserve">hätte ihm angelastet werden können. Die Veränderung der Anschlüsse der</w:t>
      </w:r>
    </w:p>
    <w:p>
      <w:r>
        <w:t xml:space="preserve">Kraftstoffleitung sei ihm unstreitig nicht bekannt gewesen und hätte ihm auch</w:t>
      </w:r>
    </w:p>
    <w:p>
      <w:r>
        <w:t xml:space="preserve">nicht bekannt sein müssen. Die von dem im Ermittlungsverfahren eingeschalte-</w:t>
      </w:r>
    </w:p>
    <w:p>
      <w:r>
        <w:t xml:space="preserve">ten Sachverständigen festgestellte Lichtbogenerscheinung könne sowohl Ursa-</w:t>
      </w:r>
    </w:p>
    <w:p>
      <w:r>
        <w:t xml:space="preserve">che als auch Folge des Brandes gewesen sein.</w:t>
      </w:r>
    </w:p>
    <w:p>
      <w:r>
        <w:rPr>
          <w:b/>
        </w:rPr>
        <w:t xml:space="preserve">Rn. 9</w:t>
      </w:r>
    </w:p>
    <w:p>
      <w:r>
        <w:t xml:space="preserve">Ansprüche aus § 280 Abs. 1 BGB stünden dem Kläger nicht zu, weil</w:t>
      </w:r>
    </w:p>
    <w:p>
      <w:r>
        <w:t xml:space="preserve">nicht nachgewiesen sei, dass der Beklagte zu 1 die Feuerwehr zu spät gerufen</w:t>
      </w:r>
    </w:p>
    <w:p>
      <w:r>
        <w:t xml:space="preserve">habe, wodurch der Brand nicht mehr habe unter Kontrolle gebracht werden</w:t>
      </w:r>
    </w:p>
    <w:p>
      <w:r>
        <w:t xml:space="preserve">können. Ansprüche aus unerlaubter Handlung hat das Berufungsgericht</w:t>
      </w:r>
    </w:p>
    <w:p>
      <w:r>
        <w:t xml:space="preserve">schließlich verneint, weil eine Verletzung der allgemeinen Verkehrssicherungs-</w:t>
      </w:r>
    </w:p>
    <w:p>
      <w:r>
        <w:t xml:space="preserve">pflicht nicht nachgewiesen sei.</w:t>
      </w:r>
    </w:p>
    <w:p>
      <w:r>
        <w:t xml:space="preserve">II.</w:t>
      </w:r>
    </w:p>
    <w:p>
      <w:r>
        <w:rPr>
          <w:b/>
        </w:rPr>
        <w:t xml:space="preserve">Rn. 11</w:t>
      </w:r>
    </w:p>
    <w:p>
      <w:r>
        <w:t xml:space="preserve">Diese Ausführungen halten einer rechtlichen Nachprüfung nicht in vollem</w:t>
      </w:r>
    </w:p>
    <w:p>
      <w:r>
        <w:t xml:space="preserve">Umfang stand.</w:t>
      </w:r>
    </w:p>
    <w:p>
      <w:r>
        <w:t xml:space="preserve">1. Schadensersatzansprüche gemäß § 536 a Abs. 1 BGB wegen eines</w:t>
      </w:r>
    </w:p>
    <w:p>
      <w:r>
        <w:t xml:space="preserve">Mangels hat das Berufungsgericht im Ergebnis zu Recht verneint, denn der</w:t>
      </w:r>
    </w:p>
    <w:p>
      <w:r>
        <w:t xml:space="preserve">Schaden ist nicht infolge eines Mangels der vermieteten Stellplätze entstanden.</w:t>
      </w:r>
    </w:p>
    <w:p>
      <w:r>
        <w:rPr>
          <w:b/>
        </w:rPr>
        <w:t xml:space="preserve">Rn. 12</w:t>
      </w:r>
    </w:p>
    <w:p>
      <w:r>
        <w:t xml:space="preserve">Das gilt zunächst für die unmittelbare Verursachung des Brandes. Die</w:t>
      </w:r>
    </w:p>
    <w:p>
      <w:r>
        <w:t xml:space="preserve">Brandursache lag unstreitig nicht in der Beschaffenheit des Mietobjekts begrün-</w:t>
      </w:r>
    </w:p>
    <w:p>
      <w:r>
        <w:t xml:space="preserve">det. Da die Brandursache vielmehr mit dem von dem Beklagten zu 1 zur Repa-</w:t>
      </w:r>
    </w:p>
    <w:p>
      <w:r>
        <w:t xml:space="preserve">ratur in die Scheune verbrachten Fahrzeug zusammenhängt, das selbst nicht</w:t>
      </w:r>
    </w:p>
    <w:p>
      <w:r>
        <w:t xml:space="preserve">Teil der Mietsache ist, kommt insoweit nicht die Gewährleistungshaftung nach</w:t>
      </w:r>
    </w:p>
    <w:p>
      <w:r>
        <w:t xml:space="preserve">§ 536 a BGB, sondern nur eine Haftung wegen Pflichtverletzung nach § 280</w:t>
      </w:r>
    </w:p>
    <w:p>
      <w:r>
        <w:t xml:space="preserve">Abs. 1 BGB in Betracht (vgl. BGH NJW 1957, 826; Palandt/Weidenkaff 67. Aufl.</w:t>
      </w:r>
    </w:p>
    <w:p>
      <w:r>
        <w:t xml:space="preserve">§ 536 a Rdn. 5). Zu notwendigen Brandschutzvorrichtungen ist das Berufungs-</w:t>
      </w:r>
    </w:p>
    <w:p>
      <w:r>
        <w:t xml:space="preserve">gericht aufgrund seiner nicht zu beanstandenden Feststellungen zu Recht da-</w:t>
      </w:r>
    </w:p>
    <w:p>
      <w:r>
        <w:t xml:space="preserve">von ausgegangen, dass ein Anspruch nach § 536 b Satz 2 BGB ausgeschlos-</w:t>
      </w:r>
    </w:p>
    <w:p>
      <w:r>
        <w:t xml:space="preserve">sen ist. Im Übrigen (fehlender Feuerlöscher) hat es einen schadensursächli-</w:t>
      </w:r>
    </w:p>
    <w:p>
      <w:r>
        <w:t xml:space="preserve">chen Mangel verneint. Auch dagegen bestehen keine revisionsrechtlichen Be-</w:t>
      </w:r>
    </w:p>
    <w:p>
      <w:r>
        <w:t xml:space="preserve">denken. Damit scheidet eine Gewährleistungshaftung insgesamt aus.</w:t>
      </w:r>
    </w:p>
    <w:p>
      <w:r>
        <w:rPr>
          <w:b/>
        </w:rPr>
        <w:t xml:space="preserve">Rn. 13</w:t>
      </w:r>
    </w:p>
    <w:p>
      <w:r>
        <w:t xml:space="preserve">2. Zu Unrecht hat das Berufungsgericht indessen eine Schadensersatz-</w:t>
      </w:r>
    </w:p>
    <w:p>
      <w:r>
        <w:t xml:space="preserve">haftung der Beklagten wegen Pflichtverletzung (positive Vertragsverletzung)</w:t>
      </w:r>
    </w:p>
    <w:p>
      <w:r>
        <w:t xml:space="preserve">gemäß § 280 Abs. 1 BGB i.V.m. § 3 Nr. 1 PflVG (a. F.) verneint. Den Beklagten</w:t>
      </w:r>
    </w:p>
    <w:p>
      <w:r>
        <w:t xml:space="preserve">zu 1 traf als Vermieter eine vertragliche Nebenpflicht, Störungen des Mieters</w:t>
      </w:r>
    </w:p>
    <w:p>
      <w:r>
        <w:t xml:space="preserve">und Beschädigungen der von diesem eingebrachten Sachen zu unterlassen</w:t>
      </w:r>
    </w:p>
    <w:p>
      <w:r>
        <w:t xml:space="preserve">(Fürsorgepflicht; vgl. Staudinger/Emmerich BGB [2006] § 535 Rdn. 82).</w:t>
      </w:r>
    </w:p>
    <w:p>
      <w:r>
        <w:rPr>
          <w:b/>
        </w:rPr>
        <w:t xml:space="preserve">Rn. 14</w:t>
      </w:r>
    </w:p>
    <w:p>
      <w:r>
        <w:t xml:space="preserve">Die Beweislast im Hinblick auf die schadensursächliche Pflichtverletzung</w:t>
      </w:r>
    </w:p>
    <w:p>
      <w:r>
        <w:t xml:space="preserve">liegt entgegen der Auffassung des Berufungsgerichts, das sich mit dieser Frage</w:t>
      </w:r>
    </w:p>
    <w:p>
      <w:r>
        <w:t xml:space="preserve">im Rahmen des Anspruchs nach § 536 a Abs. 1 BGB befasst hat, nicht beim</w:t>
      </w:r>
    </w:p>
    <w:p>
      <w:r>
        <w:t xml:space="preserve">Kläger. Es ist vielmehr Aufgabe der Beklagten, sich insoweit zu entlasten.</w:t>
      </w:r>
    </w:p>
    <w:p>
      <w:r>
        <w:rPr>
          <w:b/>
        </w:rPr>
        <w:t xml:space="preserve">Rn. 15</w:t>
      </w:r>
    </w:p>
    <w:p>
      <w:r>
        <w:t xml:space="preserve">Grundsätzlich hat allerdings der Mieter als Schadensersatzgläubiger dar-</w:t>
      </w:r>
    </w:p>
    <w:p>
      <w:r>
        <w:t xml:space="preserve">zulegen und zu beweisen, dass den Vermieter eine Pflichtverletzung trifft und</w:t>
      </w:r>
    </w:p>
    <w:p>
      <w:r>
        <w:t xml:space="preserve">diese für den entstandenen Schaden ursächlich war (BGH Urteil vom 31. Mai</w:t>
      </w:r>
    </w:p>
    <w:p>
      <w:r>
        <w:t xml:space="preserve">1978 - VIII ZR 263/76 - NJW 1978, 2197). Allerdings bestimmt § 280 Abs. 1</w:t>
      </w:r>
    </w:p>
    <w:p>
      <w:r>
        <w:t xml:space="preserve">Satz 2 BGB (ähnlich § 282 BGB a. F.) eine Beweislastumkehr, soweit es um</w:t>
      </w:r>
    </w:p>
    <w:p>
      <w:r>
        <w:t xml:space="preserve">das Vertretenmüssen der Pflichtverletzung geht. Die Grenze dieser Beweislast-</w:t>
      </w:r>
    </w:p>
    <w:p>
      <w:r>
        <w:t xml:space="preserve">umkehr, die nicht nur das Verschulden im engeren Sinne, sondern auch die</w:t>
      </w:r>
    </w:p>
    <w:p>
      <w:r>
        <w:t xml:space="preserve">(objektive) Pflichtverletzung ergreift (Senatsurteil vom 16. Februar 2005 - XII ZR</w:t>
      </w:r>
    </w:p>
    <w:p>
      <w:r>
        <w:t xml:space="preserve">216/02 - ZMR 2005, 520, 522), ist nach der Rechtsprechung des Senats da-</w:t>
      </w:r>
    </w:p>
    <w:p>
      <w:r>
        <w:t xml:space="preserve">nach zu bestimmen, in wessen Obhuts- und Gefahrenbereich die Schadensur-</w:t>
      </w:r>
    </w:p>
    <w:p>
      <w:r>
        <w:t xml:space="preserve">sache lag (Senatsurteile BGHZ 126, 124, 129; vom 27. April 1994 - XII ZR</w:t>
      </w:r>
    </w:p>
    <w:p>
      <w:r>
        <w:t xml:space="preserve">16/93 - NJW 1994, 1880, 1881; vgl. auch MünchKomm/Ernst BGB 5. Aufl.</w:t>
      </w:r>
    </w:p>
    <w:p>
      <w:r>
        <w:t xml:space="preserve">§ 280 Rdn. 141). Nach denselben Grundsätzen ist der Senat auch bei einer</w:t>
      </w:r>
    </w:p>
    <w:p>
      <w:r>
        <w:t xml:space="preserve">Schadensersatzhaftung unter Mietern verfahren, wenn die genaue Ursache ei-</w:t>
      </w:r>
    </w:p>
    <w:p>
      <w:r>
        <w:t xml:space="preserve">nes Brandes nicht aufgeklärt werden konnte (Senatsurteil vom 16. Februar</w:t>
      </w:r>
    </w:p>
    <w:p>
      <w:r>
        <w:t xml:space="preserve">2005 - XII ZR 216/02 - ZMR 2005, 520, 522).</w:t>
      </w:r>
    </w:p>
    <w:p>
      <w:r>
        <w:rPr>
          <w:b/>
        </w:rPr>
        <w:t xml:space="preserve">Rn. 16</w:t>
      </w:r>
    </w:p>
    <w:p>
      <w:r>
        <w:t xml:space="preserve">Steht demnach fest, dass als Schadensursache nur eine solche aus dem</w:t>
      </w:r>
    </w:p>
    <w:p>
      <w:r>
        <w:t xml:space="preserve">Obhuts- und Gefahrenbereich des Schuldners in Betracht kommt, muss dieser</w:t>
      </w:r>
    </w:p>
    <w:p>
      <w:r>
        <w:t xml:space="preserve">sich nicht nur hinsichtlich der subjektiven Seite, sondern auch hinsichtlich der</w:t>
      </w:r>
    </w:p>
    <w:p>
      <w:r>
        <w:t xml:space="preserve">objektiven Pflichtwidrigkeit entlasten (Senatsurteil vom 16. Februar 2005</w:t>
      </w:r>
    </w:p>
    <w:p>
      <w:r>
        <w:t xml:space="preserve">- XII ZR 216/02 - ZMR 2005, 520, 522).</w:t>
      </w:r>
    </w:p>
    <w:p>
      <w:r>
        <w:rPr>
          <w:b/>
        </w:rPr>
        <w:t xml:space="preserve">Rn. 17</w:t>
      </w:r>
    </w:p>
    <w:p>
      <w:r>
        <w:t xml:space="preserve">Im vorliegenden Fall entstand der Brand im Obhuts- und Gefahrenbe-</w:t>
      </w:r>
    </w:p>
    <w:p>
      <w:r>
        <w:t xml:space="preserve">reich des Beklagten zu 1. Der Beklagte zu 1 hatte im Erdgeschoss der Scheune</w:t>
      </w:r>
    </w:p>
    <w:p>
      <w:r>
        <w:t xml:space="preserve">eine Reparaturwerkstatt eingerichtet und führte dort eine Fahrzeugreparatur</w:t>
      </w:r>
    </w:p>
    <w:p>
      <w:r>
        <w:t xml:space="preserve">durch. Der Brand brach unstreitig während der Reparatur aus und ging auch</w:t>
      </w:r>
    </w:p>
    <w:p>
      <w:r>
        <w:t xml:space="preserve">vom Fahrzeug des Beklagten zu 1 aus. Dass der Bereich, in dem der Beklagte</w:t>
      </w:r>
    </w:p>
    <w:p>
      <w:r>
        <w:t xml:space="preserve">zu 1 die Reparatur durchführte, dem Kläger als Geschädigten nicht unzugäng-</w:t>
      </w:r>
    </w:p>
    <w:p>
      <w:r>
        <w:t xml:space="preserve">lich war, ist nicht ausschlaggebend. Zwar ist Hintergrund der Beweislastvertei-</w:t>
      </w:r>
    </w:p>
    <w:p>
      <w:r>
        <w:t xml:space="preserve">lung nach Obhuts- und Gefahrenbereichen vor allem die fehlende Einsichts-</w:t>
      </w:r>
    </w:p>
    <w:p>
      <w:r>
        <w:t xml:space="preserve">möglichkeit des Gläubigers. Der zugrunde liegende Gedanke erschöpft sich</w:t>
      </w:r>
    </w:p>
    <w:p>
      <w:r>
        <w:t xml:space="preserve">darin allerdings nicht und kann ebenso angebracht sein, wenn das scha-</w:t>
      </w:r>
    </w:p>
    <w:p>
      <w:r>
        <w:t xml:space="preserve">densauslösende Ereignis auf andere Weise der Wahrnehmung des Geschädig-</w:t>
      </w:r>
    </w:p>
    <w:p>
      <w:r>
        <w:t xml:space="preserve">ten entzogen ist, während es im unmittelbaren Wahrnehmungsbereich des</w:t>
      </w:r>
    </w:p>
    <w:p>
      <w:r>
        <w:t xml:space="preserve">Schuldners stattfand. Eine entsprechende Beweislastumkehr muss jedenfalls</w:t>
      </w:r>
    </w:p>
    <w:p>
      <w:r>
        <w:t xml:space="preserve">dann eingreifen, wenn - wie im vorliegenden Fall - die Ursächlichkeit der vom</w:t>
      </w:r>
    </w:p>
    <w:p>
      <w:r>
        <w:t xml:space="preserve">Schuldner verwendeten Sache für den Schaden feststeht.</w:t>
      </w:r>
    </w:p>
    <w:p>
      <w:r>
        <w:rPr>
          <w:b/>
        </w:rPr>
        <w:t xml:space="preserve">Rn. 18</w:t>
      </w:r>
    </w:p>
    <w:p>
      <w:r>
        <w:t xml:space="preserve">Die vom Berufungsgericht (im Zusammenhang mit § 536 a Abs. 1 BGB)</w:t>
      </w:r>
    </w:p>
    <w:p>
      <w:r>
        <w:t xml:space="preserve">für seine gegenteilige Ansicht angeführte Entscheidung des Bundesgerichtshofs</w:t>
      </w:r>
    </w:p>
    <w:p>
      <w:r>
        <w:t xml:space="preserve">(Urteil vom 31. Mai 1978 - VIII ZR 263/76 - NJW 1978, 2197) widerspricht dem</w:t>
      </w:r>
    </w:p>
    <w:p>
      <w:r>
        <w:t xml:space="preserve">nicht. In dem dort entschiedenen Fall stand nicht fest, dass die Brandursache</w:t>
      </w:r>
    </w:p>
    <w:p>
      <w:r>
        <w:t xml:space="preserve">im Bereich des Vermieters lag, und war eine Verursachung durch Brandstiftung</w:t>
      </w:r>
    </w:p>
    <w:p>
      <w:r>
        <w:t xml:space="preserve">nicht ausgeschlossen. Im vorliegenden Fall lässt sich nach den Feststellungen</w:t>
      </w:r>
    </w:p>
    <w:p>
      <w:r>
        <w:t xml:space="preserve">beider Vorinstanzen eine Einwirkung Dritter indessen ausschließen. Der Brand</w:t>
      </w:r>
    </w:p>
    <w:p>
      <w:r>
        <w:t xml:space="preserve">entstand in dem allein dem Beklagten zu 1 zuzuordnenden Bereich. Auch wenn</w:t>
      </w:r>
    </w:p>
    <w:p>
      <w:r>
        <w:t xml:space="preserve">dieser Bereich räumlich nicht derart abgegrenzt war, dass er dem Einblick des</w:t>
      </w:r>
    </w:p>
    <w:p>
      <w:r>
        <w:t xml:space="preserve">Klägers als Mieter entzogen gewesen wäre, ist jedenfalls in der vorliegenden</w:t>
      </w:r>
    </w:p>
    <w:p>
      <w:r>
        <w:t xml:space="preserve">Fallkonstellation eine entsprechende Beweislastverteilung angezeigt, weil die</w:t>
      </w:r>
    </w:p>
    <w:p>
      <w:r>
        <w:t xml:space="preserve">Brandursache im Fahrzeug des Beklagten zu 1 lag und eine Verursachung</w:t>
      </w:r>
    </w:p>
    <w:p>
      <w:r>
        <w:t xml:space="preserve">durch Dritte ausscheidet.</w:t>
      </w:r>
    </w:p>
    <w:p>
      <w:r>
        <w:rPr>
          <w:b/>
        </w:rPr>
        <w:t xml:space="preserve">Rn. 19</w:t>
      </w:r>
    </w:p>
    <w:p>
      <w:r>
        <w:t xml:space="preserve">3. Die Haftung der Beklagten zu 2 ergibt sich aus § 3 Nr. 1 PflVG (a. F.).</w:t>
      </w:r>
    </w:p>
    <w:p>
      <w:r>
        <w:t xml:space="preserve">Der Brandschaden fällt in die Leistungspflicht des Versicherers nach § 10</w:t>
      </w:r>
    </w:p>
    <w:p>
      <w:r>
        <w:t xml:space="preserve">Abs. 1 AKB. Der Gebrauch des versicherten Fahrzeugs im Sinne dieser Be-</w:t>
      </w:r>
    </w:p>
    <w:p>
      <w:r>
        <w:t xml:space="preserve">stimmung schließt auch dessen Reparatur ein (BGHZ 78, 52, 54; BGH Urteil</w:t>
      </w:r>
    </w:p>
    <w:p>
      <w:r>
        <w:t xml:space="preserve">vom 21. Februar 1990 - IV ZR 271/88 - VersR 1990, 482; OGH VersR 2006,</w:t>
      </w:r>
    </w:p>
    <w:p>
      <w:r>
        <w:t xml:space="preserve">863 f.).</w:t>
      </w:r>
    </w:p>
    <w:p>
      <w:r>
        <w:t xml:space="preserve">III.</w:t>
      </w:r>
    </w:p>
    <w:p>
      <w:r>
        <w:rPr>
          <w:b/>
        </w:rPr>
        <w:t xml:space="preserve">Rn. 21</w:t>
      </w:r>
    </w:p>
    <w:p>
      <w:r>
        <w:t xml:space="preserve">Das Urteil des Berufungsgerichts ist demnach aufzuheben. Der Senat</w:t>
      </w:r>
    </w:p>
    <w:p>
      <w:r>
        <w:t xml:space="preserve">kann in der Sache nicht abschließend entscheiden.</w:t>
      </w:r>
    </w:p>
    <w:p>
      <w:r>
        <w:t xml:space="preserve">Nach der von den Vorinstanzen durchgeführten Beweisaufnahme liegt es</w:t>
      </w:r>
    </w:p>
    <w:p>
      <w:r>
        <w:t xml:space="preserve">zwar nahe, dass die Beklagten den ihnen hinsichtlich der schadensursächlichen</w:t>
      </w:r>
    </w:p>
    <w:p>
      <w:r>
        <w:t xml:space="preserve">Pflichtwidrigkeit obliegenden Entlastungsbeweis nicht geführt haben. Da aber</w:t>
      </w:r>
    </w:p>
    <w:p>
      <w:r>
        <w:t xml:space="preserve">das Landgericht und das Berufungsgericht von einer vollumfänglichen Beweis-</w:t>
      </w:r>
    </w:p>
    <w:p>
      <w:r>
        <w:t xml:space="preserve">last des Klägers ausgegangen sind, ist den Beklagten noch die Möglichkeit zu</w:t>
      </w:r>
    </w:p>
    <w:p>
      <w:r>
        <w:t xml:space="preserve">ergänzendem Sachvortrag zu geben. Im Übrigen ist auch die vom Landgericht</w:t>
      </w:r>
    </w:p>
    <w:p>
      <w:r>
        <w:t xml:space="preserve">angenommene Schadenshöhe in der Berufungsinstanz angegriffen worden und</w:t>
      </w:r>
    </w:p>
    <w:p>
      <w:r>
        <w:t xml:space="preserve">sind insoweit noch tatrichterliche Feststellungen erforderlich.</w:t>
      </w:r>
    </w:p>
    <w:p>
      <w:r>
        <w:t xml:space="preserve">IV.</w:t>
      </w:r>
    </w:p>
    <w:p>
      <w:r>
        <w:rPr>
          <w:b/>
        </w:rPr>
        <w:t xml:space="preserve">Rn. 22</w:t>
      </w:r>
    </w:p>
    <w:p>
      <w:r>
        <w:t xml:space="preserve">Für das weitere Verfahren weist der Senat darauf hin, dass ein Scha-</w:t>
      </w:r>
    </w:p>
    <w:p>
      <w:r>
        <w:t xml:space="preserve">densersatzanspruch aufgrund §§ 280 Abs. 1 BGB, 3 Nr. 1 PflVG (a. F.) auch</w:t>
      </w:r>
    </w:p>
    <w:p>
      <w:r>
        <w:t xml:space="preserve">die Schäden erfassen dürfte, die der Kläger aufgrund abgetretenen Rechts er-</w:t>
      </w:r>
    </w:p>
    <w:p>
      <w:r>
        <w:t xml:space="preserve">setzt verlangt (vgl. Senatsurteil vom 16. Februar 2005 - XII ZR 216/02 - ZMR</w:t>
      </w:r>
    </w:p>
    <w:p>
      <w:r>
        <w:t xml:space="preserve">2005, 520, 521 f.). Insoweit dürfte - vorbehaltlich anderweitiger Feststellungen</w:t>
      </w:r>
    </w:p>
    <w:p>
      <w:r>
        <w:t xml:space="preserve">des Berufungsgerichts - der Stellplatzmietvertrag Schutzwirkung für Dritte ent-</w:t>
      </w:r>
    </w:p>
    <w:p>
      <w:r>
        <w:t xml:space="preserve">falten (vgl. BGHZ 49, 350, 354; Palandt/Grüneberg BGB 67. Aufl. § 328</w:t>
      </w:r>
    </w:p>
    <w:p>
      <w:r>
        <w:t xml:space="preserve">Rdn. 17 a, 29).</w:t>
      </w:r>
    </w:p>
    <w:p>
      <w:r>
        <w:rPr>
          <w:b/>
        </w:rPr>
        <w:t xml:space="preserve">Rn. 23</w:t>
      </w:r>
    </w:p>
    <w:p>
      <w:r>
        <w:t xml:space="preserve">Für den Fall, dass eine Haftung nach § 280 Abs. 1 BGB i.V.m. § 3 Nr. 1</w:t>
      </w:r>
    </w:p>
    <w:p>
      <w:r>
        <w:t xml:space="preserve">PflVG (a. F.) ausscheidet, weist der Senat darauf hin, dass das Berufungsge-</w:t>
      </w:r>
    </w:p>
    <w:p>
      <w:r>
        <w:t xml:space="preserve">richt aufgrund der von ihm getroffenen Feststellungen Ansprüche aus unerlaub-</w:t>
      </w:r>
    </w:p>
    <w:p>
      <w:r>
        <w:t xml:space="preserve">ter Handlung zu Recht verneint hat. Die Revision hat in diesem Zusammenhang</w:t>
      </w:r>
    </w:p>
    <w:p>
      <w:r>
        <w:t xml:space="preserve">nicht aufgezeigt, in welcher Weise der Beklagte zu 1 gegen die in den Gründen</w:t>
      </w:r>
    </w:p>
    <w:p>
      <w:r>
        <w:t xml:space="preserve">des Berufungsurteils nicht ausdrücklich in Verbindung mit § 823 Abs. 2 BGB</w:t>
      </w:r>
    </w:p>
    <w:p>
      <w:r>
        <w:t xml:space="preserve">geprüften Vorschriften der Sächsischen Garagenverordnung verstoßen haben</w:t>
      </w:r>
    </w:p>
    <w:p>
      <w:r>
        <w:t xml:space="preserve">soll (abgesehen von der Frage der Revisibilität einer diesbezüglichen Rechts-</w:t>
      </w:r>
    </w:p>
    <w:p>
      <w:r>
        <w:t xml:space="preserve">verletzung) und dass dadurch der Schaden verursacht worden sein soll.</w:t>
      </w:r>
    </w:p>
    <w:p>
      <w:r>
        <w:t xml:space="preserve">Hahne</w:t>
      </w:r>
    </w:p>
    <w:p>
      <w:r>
        <w:t xml:space="preserve">Fuchs</w:t>
      </w:r>
    </w:p>
    <w:p>
      <w:r>
        <w:t xml:space="preserve">Vézina</w:t>
      </w:r>
    </w:p>
    <w:p>
      <w:r>
        <w:t xml:space="preserve">Dose</w:t>
      </w:r>
    </w:p>
    <w:p>
      <w:r>
        <w:t xml:space="preserve">Klinkhammer</w:t>
      </w:r>
    </w:p>
    <w:p>
      <w:r>
        <w:t xml:space="preserve">Vorinstanzen:</w:t>
      </w:r>
    </w:p>
    <w:p>
      <w:r>
        <w:t xml:space="preserve">LG Dresden, Entscheidung vom 17.01.2006 - 5 O 3174/05 -</w:t>
      </w:r>
    </w:p>
    <w:p>
      <w:r>
        <w:t xml:space="preserve">OLG Dresden, Entscheidung vom 03.08.2006 - 13 U 276/06 -</w:t>
      </w:r>
    </w:p>
    <w:p>
      <w:r>
        <w:rPr>
          <w:color w:val="555555"/>
          <w:sz w:val="17"/>
        </w:rPr>
        <w:t xml:space="preserve">Zitiervorschlag: BGH, Urteil vom 22.10.2008 – XII ZR 148/06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https://recht.nulegal.eu/rechtsprechung/bgh/2008-10-22/xii-zr-148-06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