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09.09.2008 – 4 StR 368/08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9. September 2008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4 StR 368/08</w:t>
      </w:r>
    </w:p>
    <w:p>
      <w:r>
        <w:t xml:space="preserve">1.</w:t>
      </w:r>
    </w:p>
    <w:p>
      <w:r>
        <w:t xml:space="preserve">2.</w:t>
      </w:r>
    </w:p>
    <w:p>
      <w:r>
        <w:t xml:space="preserve">wegen Landfriedensbruchs</w:t>
      </w:r>
    </w:p>
    <w:p>
      <w:r>
        <w:t xml:space="preserve">Der 4. Strafsenat des Bundesgerichtshofs hat nach Anhörung des Generalbun-</w:t>
      </w:r>
    </w:p>
    <w:p>
      <w:r>
        <w:t xml:space="preserve">desanwalts und der Beschwerdeführer am 9. September 2008 gemäß § 349</w:t>
      </w:r>
    </w:p>
    <w:p>
      <w:r>
        <w:t xml:space="preserve">Abs. 4 StPO beschlossen:</w:t>
      </w:r>
    </w:p>
    <w:p>
      <w:r>
        <w:t xml:space="preserve">1. Auf die Revisionen der Angeklagten Vincent B. und</w:t>
      </w:r>
    </w:p>
    <w:p>
      <w:r>
        <w:t xml:space="preserve">Tobias N. wird das Urteil des Landgerichts Des-</w:t>
      </w:r>
    </w:p>
    <w:p>
      <w:r>
        <w:t xml:space="preserve">sau-Roßlau vom 11. März 2008 – soweit es sie betrifft –</w:t>
      </w:r>
    </w:p>
    <w:p>
      <w:r>
        <w:t xml:space="preserve">mit den Feststellungen aufgeboben.</w:t>
      </w:r>
    </w:p>
    <w:p>
      <w:r>
        <w:t xml:space="preserve">2. Die Sache wird zu neuer Verhandlung und Entscheidung,</w:t>
      </w:r>
    </w:p>
    <w:p>
      <w:r>
        <w:t xml:space="preserve">auch über die Kosten der Rechtsmittel, an eine andere</w:t>
      </w:r>
    </w:p>
    <w:p>
      <w:r>
        <w:t xml:space="preserve">Strafkammer des Landgerichts Dessau-Roßlau zurück-</w:t>
      </w:r>
    </w:p>
    <w:p>
      <w:r>
        <w:t xml:space="preserve">verwiesen.</w:t>
      </w:r>
    </w:p>
    <w:p>
      <w:r>
        <w:rPr>
          <w:b/>
        </w:rPr>
        <w:t xml:space="preserve">Rn. 1</w:t>
      </w:r>
    </w:p>
    <w:p>
      <w:r>
        <w:t xml:space="preserve">Das Landgericht hat die Angeklagten Vincent B. und Tobias N.</w:t>
      </w:r>
    </w:p>
    <w:p>
      <w:pPr>
        <w:pStyle w:val="Heading2"/>
      </w:pPr>
      <w:r>
        <w:t xml:space="preserve">Gründe</w:t>
      </w:r>
    </w:p>
    <w:p>
      <w:r>
        <w:t xml:space="preserve">sowie Clemens P. und Janine K. des Landfriedensbruchs, den Ange-</w:t>
      </w:r>
    </w:p>
    <w:p>
      <w:r>
        <w:t xml:space="preserve">klagten P. zudem der versuchten Brandstiftung und Sachbeschädigung,</w:t>
      </w:r>
    </w:p>
    <w:p>
      <w:r>
        <w:t xml:space="preserve">schuldig gesprochen und den Angeklagten B. unter Einbeziehung eines</w:t>
      </w:r>
    </w:p>
    <w:p>
      <w:r>
        <w:t xml:space="preserve">früheren Urteils zu einer Einheitsjugendstrafe verurteilt, deren Vollstreckung es</w:t>
      </w:r>
    </w:p>
    <w:p>
      <w:r>
        <w:t xml:space="preserve">zur Bewährung ausgesetzt hat. Die anderen Angeklagten hat es verwarnt und</w:t>
      </w:r>
    </w:p>
    <w:p>
      <w:r>
        <w:t xml:space="preserve">gegen sie Auflagen nach dem Jugendgerichtsgesetz verhängt. Gegen dieses</w:t>
      </w:r>
    </w:p>
    <w:p>
      <w:r>
        <w:t xml:space="preserve">Urteil richten sich die Revisionen der Angeklagten B. und N. , die die</w:t>
      </w:r>
    </w:p>
    <w:p>
      <w:r>
        <w:t xml:space="preserve">Verletzung formellen und materiellen Rechts (Angeklagter B. ) bzw. nur des</w:t>
      </w:r>
    </w:p>
    <w:p>
      <w:r>
        <w:t xml:space="preserve">materiellen Rechts (Angeklagter N. ) beanstanden. Die Rechtsmittel</w:t>
      </w:r>
    </w:p>
    <w:p>
      <w:r>
        <w:t xml:space="preserve">haben mit der Sachrüge Erfolg.</w:t>
      </w:r>
    </w:p>
    <w:p>
      <w:r>
        <w:t xml:space="preserve">I.</w:t>
      </w:r>
    </w:p>
    <w:p>
      <w:r>
        <w:rPr>
          <w:b/>
        </w:rPr>
        <w:t xml:space="preserve">Rn. 2</w:t>
      </w:r>
    </w:p>
    <w:p>
      <w:r>
        <w:t xml:space="preserve">Am 24. März 2005 fand in W. auf der Festwiese an der</w:t>
      </w:r>
    </w:p>
    <w:p>
      <w:r>
        <w:t xml:space="preserve">M. Straße eine Veranstaltung („Osterfeuer“) statt. Als diese gegen</w:t>
      </w:r>
    </w:p>
    <w:p>
      <w:r>
        <w:t xml:space="preserve">23.00 Uhr beendet werden sollte und die Feuerwehr vorfuhr, um das Feuer zu</w:t>
      </w:r>
    </w:p>
    <w:p>
      <w:r>
        <w:t xml:space="preserve">löschen, bildeten die Angeklagten und mindestens sechs weitere Personen eine</w:t>
      </w:r>
    </w:p>
    <w:p>
      <w:r>
        <w:t xml:space="preserve">Menschenkette zwischen den Mitgliedern der Feuerwehr und den Feuerwehr-</w:t>
      </w:r>
    </w:p>
    <w:p>
      <w:r>
        <w:t xml:space="preserve">fahrzeugen sowie dem von diesen etwa 15 Meter entfernten Feuer. Nach Ru-</w:t>
      </w:r>
    </w:p>
    <w:p>
      <w:r>
        <w:t xml:space="preserve">fen, dass das Feuer weiterbrennen und die Feuerwehr abrücken soll, wuchs die</w:t>
      </w:r>
    </w:p>
    <w:p>
      <w:r>
        <w:t xml:space="preserve">Menschenkette auf ca. 20 Personen an und „einige Mitglieder der Menschen-</w:t>
      </w:r>
    </w:p>
    <w:p>
      <w:r>
        <w:t xml:space="preserve">kette [begannen] in bedrohlicher Art und Weise Flaschen, Büchsen und andere</w:t>
      </w:r>
    </w:p>
    <w:p>
      <w:r>
        <w:t xml:space="preserve">Gegenstände in Richtung der … Feuerwehrfahrzeuge und der Mitglieder“ der</w:t>
      </w:r>
    </w:p>
    <w:p>
      <w:r>
        <w:t xml:space="preserve">Feuerwehr</w:t>
      </w:r>
    </w:p>
    <w:p>
      <w:r>
        <w:t xml:space="preserve">zu werfen;</w:t>
      </w:r>
    </w:p>
    <w:p>
      <w:r>
        <w:t xml:space="preserve">„ob</w:t>
      </w:r>
    </w:p>
    <w:p>
      <w:r>
        <w:t xml:space="preserve">die</w:t>
      </w:r>
    </w:p>
    <w:p>
      <w:r>
        <w:t xml:space="preserve">vier Angeklagten</w:t>
      </w:r>
    </w:p>
    <w:p>
      <w:r>
        <w:t xml:space="preserve">auch</w:t>
      </w:r>
    </w:p>
    <w:p>
      <w:r>
        <w:t xml:space="preserve">selber</w:t>
      </w:r>
    </w:p>
    <w:p>
      <w:r>
        <w:t xml:space="preserve">Gegenstände geworfen haben, kann nicht mehr festgestellt werden, sie haben</w:t>
      </w:r>
    </w:p>
    <w:p>
      <w:r>
        <w:t xml:space="preserve">sich jedoch bewusst an der Menschenkette beteiligt … und dabei das Werfen</w:t>
      </w:r>
    </w:p>
    <w:p>
      <w:r>
        <w:t xml:space="preserve">von Gegenständen aus ihrer Gruppe heraus wahrgenommen und gebilligt“ (UA</w:t>
      </w:r>
    </w:p>
    <w:p>
      <w:r>
        <w:t xml:space="preserve">13). Um eine weitere Eskalation zu vermeiden, rückte die Feuerwehr gegen</w:t>
      </w:r>
    </w:p>
    <w:p>
      <w:r>
        <w:t xml:space="preserve">23.30 Uhr ab, ohne das Feuer gelöscht zu haben. Daraufhin löste sich die Men-</w:t>
      </w:r>
    </w:p>
    <w:p>
      <w:r>
        <w:t xml:space="preserve">schenkette auf.</w:t>
      </w:r>
    </w:p>
    <w:p>
      <w:r>
        <w:rPr>
          <w:b/>
        </w:rPr>
        <w:t xml:space="preserve">Rn. 3</w:t>
      </w:r>
    </w:p>
    <w:p>
      <w:r>
        <w:t xml:space="preserve">Die Angeklagten B. und K. begaben sich nunmehr zur N. -</w:t>
      </w:r>
    </w:p>
    <w:p>
      <w:r>
        <w:t xml:space="preserve">straße, einer Seitenstraße der M. Straße, wo sie nach 23.45 Uhr</w:t>
      </w:r>
    </w:p>
    <w:p>
      <w:r>
        <w:t xml:space="preserve">gemeinsam zwei Papiercontainer in Brand setzten. Deswegen wurden sie ge-</w:t>
      </w:r>
    </w:p>
    <w:p>
      <w:r>
        <w:t xml:space="preserve">gen 00.20 Uhr zu einem Polizeirevier gebracht, wo beim Angeklagten B.</w:t>
      </w:r>
    </w:p>
    <w:p>
      <w:r>
        <w:t xml:space="preserve">um 01.35 Uhr eine Blutentnahme durchgeführt wurde. Anschließend kehrten</w:t>
      </w:r>
    </w:p>
    <w:p>
      <w:r>
        <w:t xml:space="preserve">beide zur Festwiese zurück, wo sie gegen 02.00 Uhr eintrafen.</w:t>
      </w:r>
    </w:p>
    <w:p>
      <w:r>
        <w:rPr>
          <w:b/>
        </w:rPr>
        <w:t xml:space="preserve">Rn. 4</w:t>
      </w:r>
    </w:p>
    <w:p>
      <w:r>
        <w:t xml:space="preserve">Dort hatte der Angeklagte P. in der Zwischenzeit mit Hilfe weiterer</w:t>
      </w:r>
    </w:p>
    <w:p>
      <w:r>
        <w:t xml:space="preserve">Personen zwei Dixi-Toiletten in Brand gesetzt. Als die Feuerwehr diesen Brand</w:t>
      </w:r>
    </w:p>
    <w:p>
      <w:r>
        <w:t xml:space="preserve">löschte, „wurden aus der immer aggressiver werdenden Menschenmenge her-</w:t>
      </w:r>
    </w:p>
    <w:p>
      <w:r>
        <w:t xml:space="preserve">aus gezielt Flaschen in Richtung der Feuerwehrfahrzeuge geworfen“ (UA 15),</w:t>
      </w:r>
    </w:p>
    <w:p>
      <w:r>
        <w:t xml:space="preserve">wobei ein Fahrzeug getroffen und beschädigt wurde.</w:t>
      </w:r>
    </w:p>
    <w:p>
      <w:r>
        <w:rPr>
          <w:b/>
        </w:rPr>
        <w:t xml:space="preserve">Rn. 5</w:t>
      </w:r>
    </w:p>
    <w:p>
      <w:r>
        <w:t xml:space="preserve">Nach dem Eintreffen der Angeklagten B. und K. an der Fest-</w:t>
      </w:r>
    </w:p>
    <w:p>
      <w:r>
        <w:t xml:space="preserve">wiese trugen „mehrere Personen“ die teilweise verbrannten Dixi-Toiletten auf</w:t>
      </w:r>
    </w:p>
    <w:p>
      <w:r>
        <w:t xml:space="preserve">die M. Straße, zogen mehrere Papiercontainer dorthin und errichte-</w:t>
      </w:r>
    </w:p>
    <w:p>
      <w:r>
        <w:t xml:space="preserve">ten eine Barrikade. Anschließend wurden die Dixi-Toiletten unter Mitwirkung der</w:t>
      </w:r>
    </w:p>
    <w:p>
      <w:r>
        <w:t xml:space="preserve">Angeklagten K. und mehrerer unbekannt gebliebener Personen erneut in</w:t>
      </w:r>
    </w:p>
    <w:p>
      <w:r>
        <w:t xml:space="preserve">Brand gesetzt, zudem zündete der frühere Mitangeklagte M. einen CD-</w:t>
      </w:r>
    </w:p>
    <w:p>
      <w:r>
        <w:t xml:space="preserve">Rekorder und – kurze Zeit später – eine unbekannte Person den Reifen eines</w:t>
      </w:r>
    </w:p>
    <w:p>
      <w:r>
        <w:t xml:space="preserve">auf der Festwiese stehenden Bierausschankwagens an. Als die Feuerwehr und</w:t>
      </w:r>
    </w:p>
    <w:p>
      <w:r>
        <w:t xml:space="preserve">die Polizei eintrafen, „flüchteten die vier Angeklagten mit zahlreichen weiteren</w:t>
      </w:r>
    </w:p>
    <w:p>
      <w:r>
        <w:t xml:space="preserve">Beteiligten“ (UA 16).</w:t>
      </w:r>
    </w:p>
    <w:p>
      <w:r>
        <w:rPr>
          <w:b/>
        </w:rPr>
        <w:t xml:space="preserve">Rn. 6</w:t>
      </w:r>
    </w:p>
    <w:p>
      <w:r>
        <w:t xml:space="preserve">Anschließend trennte sich der Angeklagte P. von den übrigen An-</w:t>
      </w:r>
    </w:p>
    <w:p>
      <w:r>
        <w:t xml:space="preserve">geklagten und verübte an anderen Orten die Taten, die das Landgericht als ver-</w:t>
      </w:r>
    </w:p>
    <w:p>
      <w:r>
        <w:t xml:space="preserve">suchte Brandstiftung und Sachbeschädigung abgeurteilt hat.</w:t>
      </w:r>
    </w:p>
    <w:p>
      <w:r>
        <w:t xml:space="preserve">II.</w:t>
      </w:r>
    </w:p>
    <w:p>
      <w:r>
        <w:rPr>
          <w:b/>
        </w:rPr>
        <w:t xml:space="preserve">Rn. 8</w:t>
      </w:r>
    </w:p>
    <w:p>
      <w:r>
        <w:t xml:space="preserve">1. Die vom Verteidiger des Angeklagten B. erhobene Verfahrens-</w:t>
      </w:r>
    </w:p>
    <w:p>
      <w:r>
        <w:t xml:space="preserve">rüge ist nicht ausgeführt und daher unzulässig.</w:t>
      </w:r>
    </w:p>
    <w:p>
      <w:r>
        <w:t xml:space="preserve">2. Die Revisionen haben jedoch mit der Sachrüge Erfolg. Die vom Land-</w:t>
      </w:r>
    </w:p>
    <w:p>
      <w:r>
        <w:t xml:space="preserve">gericht getroffenen Feststellungen tragen die Verurteilung der Angeklagten</w:t>
      </w:r>
    </w:p>
    <w:p>
      <w:r>
        <w:t xml:space="preserve">B. und N. wegen Landfriedensbruchs nicht, da sie nicht belegen, dass</w:t>
      </w:r>
    </w:p>
    <w:p>
      <w:r>
        <w:t xml:space="preserve">diese Angeklagten an Gewalttätigkeiten oder Bedrohungen im Sinn des § 125</w:t>
      </w:r>
    </w:p>
    <w:p>
      <w:r>
        <w:t xml:space="preserve">Abs. 1 Nrn 1, 2 StGB „als Täter oder Teilnehmer beteiligt [waren] oder auf die</w:t>
      </w:r>
    </w:p>
    <w:p>
      <w:r>
        <w:t xml:space="preserve">Menschenmenge eingewirkt [haben], um ihre Bereitschaft zu solchen Handlun-</w:t>
      </w:r>
    </w:p>
    <w:p>
      <w:r>
        <w:t xml:space="preserve">gen zu fördern“.</w:t>
      </w:r>
    </w:p>
    <w:p>
      <w:r>
        <w:rPr>
          <w:b/>
        </w:rPr>
        <w:t xml:space="preserve">Rn. 9</w:t>
      </w:r>
    </w:p>
    <w:p>
      <w:r>
        <w:t xml:space="preserve">a) Während die Strafbarkeit wegen Landfriedensbruch früher an die Zu-</w:t>
      </w:r>
    </w:p>
    <w:p>
      <w:r>
        <w:t xml:space="preserve">gehörigkeit zu einer feindseligen Menschenmenge anknüpfte, ist nach der Um-</w:t>
      </w:r>
    </w:p>
    <w:p>
      <w:r>
        <w:t xml:space="preserve">gestaltung des § 125 StGB durch das Dritte Strafrechtsreformgesetz – soweit</w:t>
      </w:r>
    </w:p>
    <w:p>
      <w:r>
        <w:t xml:space="preserve">hier von Bedeutung – nur strafbar, wer sich an den aus der Menschenmenge</w:t>
      </w:r>
    </w:p>
    <w:p>
      <w:r>
        <w:t xml:space="preserve">begangenen Gewalttätigkeiten beteiligt; Strafgrund ist diese Beteiligung und</w:t>
      </w:r>
    </w:p>
    <w:p>
      <w:r>
        <w:t xml:space="preserve">nicht mehr der bloße Anschluss an die unfriedliche Menge (BGHSt 32, 165,</w:t>
      </w:r>
    </w:p>
    <w:p>
      <w:r>
        <w:t xml:space="preserve">178). Nach dem Willen des Gesetzgebers soll nicht derjenige, der sich nach</w:t>
      </w:r>
    </w:p>
    <w:p>
      <w:r>
        <w:t xml:space="preserve">„Gewalttätigkeiten nicht veranlasst sieht, sich zu entfernen“, sondern nur derje-</w:t>
      </w:r>
    </w:p>
    <w:p>
      <w:r>
        <w:t xml:space="preserve">nige, der sich „aktiv an Gewalttätigkeiten“ beteiligt, nach dieser Vorschrift straf-</w:t>
      </w:r>
    </w:p>
    <w:p>
      <w:r>
        <w:t xml:space="preserve">bar sein (BTDrucks. VI/139 S. 4, VI/502 S. 9; zur Gesetzesgeschichte: LK-von</w:t>
      </w:r>
    </w:p>
    <w:p>
      <w:r>
        <w:t xml:space="preserve">Bubnoff StGB 11. Aufl. vor § 125 Rdn. 5 ff.).</w:t>
      </w:r>
    </w:p>
    <w:p>
      <w:r>
        <w:rPr>
          <w:b/>
        </w:rPr>
        <w:t xml:space="preserve">Rn. 10</w:t>
      </w:r>
    </w:p>
    <w:p>
      <w:r>
        <w:t xml:space="preserve">Deshalb genügt es für eine Beteiligung im Sinn des § 125 Abs. 1 StGB</w:t>
      </w:r>
    </w:p>
    <w:p>
      <w:r>
        <w:t xml:space="preserve">nicht, bloßer Teil der „Menschenmenge“ gewesen zu sein, aus der heraus die</w:t>
      </w:r>
    </w:p>
    <w:p>
      <w:r>
        <w:t xml:space="preserve">Gewalttätigkeiten begangen wurden. Ob sich jemand an diesen „als Täter oder</w:t>
      </w:r>
    </w:p>
    <w:p>
      <w:r>
        <w:t xml:space="preserve">Teilnehmer beteiligt“ hat und damit Täter des Landfriedensbruchs ist, bestimmt</w:t>
      </w:r>
    </w:p>
    <w:p>
      <w:r>
        <w:t xml:space="preserve">sich vielmehr nach den allgemeinen Teilnahmegrundsätzen der §§ 25 ff. StGB</w:t>
      </w:r>
    </w:p>
    <w:p>
      <w:r>
        <w:t xml:space="preserve">(Schönke/Schröder/Lenckner/Sternberg-Lieben StGB 27. Aufl. § 125 Rdn. 14).</w:t>
      </w:r>
    </w:p>
    <w:p>
      <w:r>
        <w:t xml:space="preserve">Danach stellt jedoch das bloß inaktive Dabeisein oder Mitmarschieren weder</w:t>
      </w:r>
    </w:p>
    <w:p>
      <w:r>
        <w:t xml:space="preserve">eine psychische Beihilfe noch ein bestimmte Gewalttätigkeiten auf andere Wei-</w:t>
      </w:r>
    </w:p>
    <w:p>
      <w:r>
        <w:t xml:space="preserve">se unterstützendes Verhalten dar (vgl. BGH NStZ 1984, 549; OLG Naumburg</w:t>
      </w:r>
    </w:p>
    <w:p>
      <w:r>
        <w:t xml:space="preserve">NJW 2001, 2034; Fischer StGB 55. Aufl. § 125 Rdn. 13; Schäfer in Münch-</w:t>
      </w:r>
    </w:p>
    <w:p>
      <w:r>
        <w:t xml:space="preserve">Komm StGB § 125 Rdn. 31; LK-von Bubnoff aaO § 125 Rdn. 9, 12 f., 17 ff.;</w:t>
      </w:r>
    </w:p>
    <w:p>
      <w:r>
        <w:t xml:space="preserve">Schönke/Schröder/Lenckner/Sternberg-Lieben aaO jeweils m.w.N.).</w:t>
      </w:r>
    </w:p>
    <w:p>
      <w:r>
        <w:rPr>
          <w:b/>
        </w:rPr>
        <w:t xml:space="preserve">Rn. 11</w:t>
      </w:r>
    </w:p>
    <w:p>
      <w:r>
        <w:t xml:space="preserve">b) Eine danach strafbare Beteiligung des Angeklagten N. an den</w:t>
      </w:r>
    </w:p>
    <w:p>
      <w:r>
        <w:t xml:space="preserve">Gewalttätigkeiten hat das Landgericht nicht festgestellt, sondern vielmehr aus-</w:t>
      </w:r>
    </w:p>
    <w:p>
      <w:r>
        <w:t xml:space="preserve">geführt, dass dieser „lediglich am Anfang der Ausschreitungen bei der Men-</w:t>
      </w:r>
    </w:p>
    <w:p>
      <w:r>
        <w:t xml:space="preserve">schenkette beteiligt [war]. Anschließend war er zwar weiterhin anwesend, betei-</w:t>
      </w:r>
    </w:p>
    <w:p>
      <w:r>
        <w:t xml:space="preserve">ligte sich jedoch bei den immer schwerwiegender werdenden Ausschreitungen</w:t>
      </w:r>
    </w:p>
    <w:p>
      <w:r>
        <w:t xml:space="preserve">nicht mehr aktiv selber“ (UA 26). Auch bezüglich der Anwesenheit in der Men-</w:t>
      </w:r>
    </w:p>
    <w:p>
      <w:r>
        <w:t xml:space="preserve">schenkette vermochte das Landgericht – wie ausgeführt – nicht festzustellen,</w:t>
      </w:r>
    </w:p>
    <w:p>
      <w:r>
        <w:t xml:space="preserve">„ob die vier Angeklagten auch selber Gegenstände geworfen“ oder dies bzw.</w:t>
      </w:r>
    </w:p>
    <w:p>
      <w:r>
        <w:t xml:space="preserve">sonstige Gewalttätigkeiten über das bloße Wahrnehmen und Billigen hinaus</w:t>
      </w:r>
    </w:p>
    <w:p>
      <w:r>
        <w:t xml:space="preserve">unterstützt haben (UA 13).</w:t>
      </w:r>
    </w:p>
    <w:p>
      <w:r>
        <w:rPr>
          <w:b/>
        </w:rPr>
        <w:t xml:space="preserve">Rn. 12</w:t>
      </w:r>
    </w:p>
    <w:p>
      <w:r>
        <w:t xml:space="preserve">c) Entsprechendes gilt bezüglich des Angeklagten B. . Er hat zwar</w:t>
      </w:r>
    </w:p>
    <w:p>
      <w:r>
        <w:t xml:space="preserve">(zudem) gemeinsam mit der Angeklagten K. zwei Papiercontainer in</w:t>
      </w:r>
    </w:p>
    <w:p>
      <w:r>
        <w:t xml:space="preserve">Brand gesetzt, jedoch wurde vom Landgericht insofern nicht festgestellt, dass</w:t>
      </w:r>
    </w:p>
    <w:p>
      <w:r>
        <w:t xml:space="preserve">diese Sachbeschädigungen – wie nach § 125 Abs. 1 StGB erforderlich – „aus</w:t>
      </w:r>
    </w:p>
    <w:p>
      <w:r>
        <w:t xml:space="preserve">einer Menschenmenge“ begangen wurden.</w:t>
      </w:r>
    </w:p>
    <w:p>
      <w:r>
        <w:rPr>
          <w:b/>
        </w:rPr>
        <w:t xml:space="preserve">Rn. 13</w:t>
      </w:r>
    </w:p>
    <w:p>
      <w:r>
        <w:t xml:space="preserve">3. Eine Erstreckung der Entscheidung auf die nicht Revision führenden</w:t>
      </w:r>
    </w:p>
    <w:p>
      <w:r>
        <w:t xml:space="preserve">Angeklagten K. und P. ist nicht geboten, da die sachlich-rechtlichen</w:t>
      </w:r>
    </w:p>
    <w:p>
      <w:r>
        <w:t xml:space="preserve">Erwägungen, die zur Aufhebung des Urteils zu Gunsten der Revisionsführer</w:t>
      </w:r>
    </w:p>
    <w:p>
      <w:r>
        <w:t xml:space="preserve">geführt haben, bei ihnen nicht zur gleichen Entscheidung gezwungen haben</w:t>
      </w:r>
    </w:p>
    <w:p>
      <w:r>
        <w:t xml:space="preserve">(vgl. Meyer-Goßner StPO 51. Aufl. § 357 Rdn. 14 m.w.N.). Beide haben näm-</w:t>
      </w:r>
    </w:p>
    <w:p>
      <w:r>
        <w:t xml:space="preserve">lich aus der „Menschenmenge heraus“ selbst „weitere Gewalttätigkeiten“ gegen</w:t>
      </w:r>
    </w:p>
    <w:p>
      <w:r>
        <w:t xml:space="preserve">Sachen begangen (Anzünden der Dixi-Toiletten), die das Landgericht – über die</w:t>
      </w:r>
    </w:p>
    <w:p>
      <w:r>
        <w:t xml:space="preserve">Anwesenheit in der Menschenkette hinaus – als tatbestandliches „Fortsetzen“</w:t>
      </w:r>
    </w:p>
    <w:p>
      <w:r>
        <w:t xml:space="preserve">des Landfriedensbruch bewertet hat (UA 24 f.).</w:t>
      </w:r>
    </w:p>
    <w:p>
      <w:r>
        <w:t xml:space="preserve">Maatz Kuckein Athing</w:t>
      </w:r>
    </w:p>
    <w:p>
      <w:r>
        <w:t xml:space="preserve">Ernemann Mutzbauer</w:t>
      </w:r>
    </w:p>
    <w:p>
      <w:r>
        <w:rPr>
          <w:color w:val="555555"/>
          <w:sz w:val="17"/>
        </w:rPr>
        <w:t xml:space="preserve">Zitiervorschlag: BGH, Beschluss vom 09.09.2008 – 4 StR 368/08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https://recht.nulegal.eu/rechtsprechung/bgh/2008-09-09/4-str-368-08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