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BGH, Beschluss vom 06.06.2008 – 2 StR 128/08</w:t>
      </w:r>
    </w:p>
    <w:p>
      <w:r>
        <w:rPr>
          <w:color w:val="555555"/>
          <w:sz w:val="18"/>
        </w:rPr>
        <w:t xml:space="preserve">2. Strafsenat</w:t>
      </w:r>
    </w:p>
    <w:p>
      <w:r>
        <w:t xml:space="preserve">BUNDESGERICHTSHOF</w:t>
      </w:r>
    </w:p>
    <w:p>
      <w:r>
        <w:t xml:space="preserve">2 StR 128/08</w:t>
      </w:r>
    </w:p>
    <w:p>
      <w:pPr>
        <w:pStyle w:val="Heading2"/>
      </w:pPr>
      <w:r>
        <w:t xml:space="preserve">BESCHLUSS</w:t>
      </w:r>
    </w:p>
    <w:p>
      <w:r>
        <w:t xml:space="preserve">vom</w:t>
      </w:r>
    </w:p>
    <w:p>
      <w:r>
        <w:t xml:space="preserve">6. Juni 2008</w:t>
      </w:r>
    </w:p>
    <w:p>
      <w:r>
        <w:t xml:space="preserve">in der Strafsache</w:t>
      </w:r>
    </w:p>
    <w:p>
      <w:r>
        <w:t xml:space="preserve">gegen</w:t>
      </w:r>
    </w:p>
    <w:p>
      <w:r>
        <w:t xml:space="preserve">wegen unerlaubten Handeltreibens mit Betäubungsmitteln in nicht</w:t>
      </w:r>
    </w:p>
    <w:p>
      <w:r>
        <w:t xml:space="preserve">geringer Menge u. a.</w:t>
      </w:r>
    </w:p>
    <w:p>
      <w:r>
        <w:t xml:space="preserve">hier: Anhörungsrüge</w:t>
      </w:r>
    </w:p>
    <w:p>
      <w:r>
        <w:t xml:space="preserve">Der 2. Strafsenat des Bundesgerichtshofs hat am 6. Juni 2008 beschlossen:</w:t>
      </w:r>
    </w:p>
    <w:p>
      <w:r>
        <w:t xml:space="preserve">Die Anhörungsrüge des Verurteilten gegen den Senatsbeschluss</w:t>
      </w:r>
    </w:p>
    <w:p>
      <w:r>
        <w:t xml:space="preserve">vom 16. Mai 2008 wird auf seine Kosten zurückgewiesen.</w:t>
      </w:r>
    </w:p>
    <w:p>
      <w:pPr>
        <w:pStyle w:val="Heading2"/>
      </w:pPr>
      <w:r>
        <w:t xml:space="preserve">Gründe</w:t>
      </w:r>
    </w:p>
    <w:p>
      <w:r>
        <w:rPr>
          <w:b/>
        </w:rPr>
        <w:t xml:space="preserve">Rn. 1</w:t>
      </w:r>
    </w:p>
    <w:p>
      <w:r>
        <w:t xml:space="preserve">Der Senat hat auf ausführlich begründeten Antrag des Generalbundes-</w:t>
      </w:r>
    </w:p>
    <w:p>
      <w:r>
        <w:t xml:space="preserve">anwalts die Revision des Angeklagten durch Beschluss vom 16. Mai 2008 ge-</w:t>
      </w:r>
    </w:p>
    <w:p>
      <w:r>
        <w:t xml:space="preserve">mäß § 349 Abs. 2 StPO als unbegründet verworfen. Mit Schriftsatz vom 5. Juni</w:t>
      </w:r>
    </w:p>
    <w:p>
      <w:r>
        <w:t xml:space="preserve">2008 hat der Verurteilte unter Wiederholung seiner Revisionsbegründung seine</w:t>
      </w:r>
    </w:p>
    <w:p>
      <w:r>
        <w:t xml:space="preserve">nachträgliche Anhörung gemäß § 356 a StPO beantragt, weil sein rechtliches</w:t>
      </w:r>
    </w:p>
    <w:p>
      <w:r>
        <w:t xml:space="preserve">Gehör verletzt sei.</w:t>
      </w:r>
    </w:p>
    <w:p>
      <w:r>
        <w:rPr>
          <w:b/>
        </w:rPr>
        <w:t xml:space="preserve">Rn. 2</w:t>
      </w:r>
    </w:p>
    <w:p>
      <w:r>
        <w:t xml:space="preserve">Der Antrag, das Verfahren in die Lage zurückzuversetzen, die vor dem</w:t>
      </w:r>
    </w:p>
    <w:p>
      <w:r>
        <w:t xml:space="preserve">Erlass der Entscheidung des Senats bestand, war zurückzuweisen, da der Se-</w:t>
      </w:r>
    </w:p>
    <w:p>
      <w:r>
        <w:t xml:space="preserve">nat bei seiner Revisionsentscheidung den Anspruch des Beschwerdeführers</w:t>
      </w:r>
    </w:p>
    <w:p>
      <w:r>
        <w:t xml:space="preserve">auf rechtliches Gehör nicht verletzt hat. Der Senat hat die Revisionsbegründung</w:t>
      </w:r>
    </w:p>
    <w:p>
      <w:r>
        <w:t xml:space="preserve">des Beschwerdeführers zur Kenntnis genommen und zum Gegenstand seiner</w:t>
      </w:r>
    </w:p>
    <w:p>
      <w:r>
        <w:t xml:space="preserve">Beratung am 16. Mai 2008 gemacht.</w:t>
      </w:r>
    </w:p>
    <w:p>
      <w:r>
        <w:t xml:space="preserve">Rissing-van Saan Rothfuß Fischer</w:t>
      </w:r>
    </w:p>
    <w:p>
      <w:r>
        <w:t xml:space="preserve">Appl Cierniak</w:t>
      </w:r>
    </w:p>
    <w:p>
      <w:r>
        <w:rPr>
          <w:color w:val="555555"/>
          <w:sz w:val="17"/>
        </w:rPr>
        <w:t xml:space="preserve">Zitiervorschlag: BGH, Beschluss vom 06.06.2008 – 2 StR 128/08</w:t>
      </w:r>
    </w:p>
    <w:p>
      <w:r>
        <w:rPr>
          <w:color w:val="555555"/>
          <w:sz w:val="17"/>
        </w:rPr>
        <w:t xml:space="preserve">Quelle: bundesgerichtshof.de, abgerufen 10.07.2026</w:t>
      </w:r>
    </w:p>
    <w:p>
      <w:r>
        <w:rPr>
          <w:color w:val="555555"/>
          <w:sz w:val="17"/>
        </w:rPr>
        <w:t xml:space="preserve">Nicht-amtliche Fassung — maßgeblich ist die Ausfertigung des Gerichts</w:t>
      </w:r>
    </w:p>
    <w:p>
      <w:r>
        <w:rPr>
          <w:color w:val="555555"/>
          <w:sz w:val="17"/>
        </w:rPr>
        <w:t xml:space="preserve">Dieses Dokument: https://recht.nulegal.eu/rechtsprechung/bgh/2008-06-06/2-str-128-08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