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15.11.2007 – RiZ (R) 4/07</w:t>
      </w:r>
    </w:p>
    <w:p>
      <w:r>
        <w:rPr>
          <w:color w:val="555555"/>
          <w:sz w:val="18"/>
        </w:rPr>
        <w:t xml:space="preserve">Dienstgericht des Bundes</w:t>
      </w:r>
    </w:p>
    <w:p>
      <w:r>
        <w:t xml:space="preserve">BUNDESGERICHTSHOF</w:t>
      </w:r>
    </w:p>
    <w:p>
      <w:r>
        <w:t xml:space="preserve">IM NAMEN DES VOLKES</w:t>
      </w:r>
    </w:p>
    <w:p>
      <w:pPr>
        <w:pStyle w:val="Heading2"/>
      </w:pPr>
      <w:r>
        <w:t xml:space="preserve">URTEIL</w:t>
      </w:r>
    </w:p>
    <w:p>
      <w:r>
        <w:t xml:space="preserve">RiZ(R) 4/07</w:t>
      </w:r>
    </w:p>
    <w:p>
      <w:r>
        <w:t xml:space="preserve">des Richters</w:t>
      </w:r>
    </w:p>
    <w:p>
      <w:r>
        <w:t xml:space="preserve">vom</w:t>
      </w:r>
    </w:p>
    <w:p>
      <w:r>
        <w:t xml:space="preserve">15. November 2007</w:t>
      </w:r>
    </w:p>
    <w:p>
      <w:r>
        <w:t xml:space="preserve">in dem Prüfungsverfahren</w:t>
      </w:r>
    </w:p>
    <w:p>
      <w:r>
        <w:t xml:space="preserve">Antragsteller und Revisionskläger,</w:t>
      </w:r>
    </w:p>
    <w:p>
      <w:r>
        <w:t xml:space="preserve">gegen</w:t>
      </w:r>
    </w:p>
    <w:p>
      <w:r>
        <w:t xml:space="preserve">Antragsgegner und Revisionsbeklagter,</w:t>
      </w:r>
    </w:p>
    <w:p>
      <w:r>
        <w:t xml:space="preserve">wegen Anfechtung einer Maßnahme der Dienstaufsicht</w:t>
      </w:r>
    </w:p>
    <w:p>
      <w:r>
        <w:t xml:space="preserve">Der Bundesgerichtshof - Dienstgericht des Bundes - hat am 15. November</w:t>
      </w:r>
    </w:p>
    <w:p>
      <w:r>
        <w:t xml:space="preserve">2007 - ohne mündliche Verhandlung - durch die Vorsitzende Richterin am Bun-</w:t>
      </w:r>
    </w:p>
    <w:p>
      <w:r>
        <w:t xml:space="preserve">desgerichtshof Dr. Rissing-van Saan, die Richter am Bundesgerichtshof</w:t>
      </w:r>
    </w:p>
    <w:p>
      <w:r>
        <w:t xml:space="preserve">Dr. Joeres und Prof. Dr. Fischer sowie den Richter am Bundesarbeitsgericht</w:t>
      </w:r>
    </w:p>
    <w:p>
      <w:r>
        <w:t xml:space="preserve">Schmitz-Scholemann und die Richterin am Bundesarbeitsgericht Gräfl</w:t>
      </w:r>
    </w:p>
    <w:p>
      <w:r>
        <w:t xml:space="preserve">für Recht erkannt:</w:t>
      </w:r>
    </w:p>
    <w:p>
      <w:r>
        <w:t xml:space="preserve">Auf die Revision des Antragstellers wird das Urteil des Landge-</w:t>
      </w:r>
    </w:p>
    <w:p>
      <w:r>
        <w:t xml:space="preserve">richts Leipzig - Dienstgericht für Richter - vom 30. April 2007</w:t>
      </w:r>
    </w:p>
    <w:p>
      <w:r>
        <w:t xml:space="preserve">- 66 DG 3/06 - teilweise abgeändert:</w:t>
      </w:r>
    </w:p>
    <w:p>
      <w:r>
        <w:t xml:space="preserve">Das Schreiben des Präsidenten des</w:t>
      </w:r>
    </w:p>
    <w:p>
      <w:r>
        <w:t xml:space="preserve">vom 23. Februar 2005</w:t>
      </w:r>
    </w:p>
    <w:p>
      <w:r>
        <w:t xml:space="preserve">in Gestalt des Wider-</w:t>
      </w:r>
    </w:p>
    <w:p>
      <w:r>
        <w:t xml:space="preserve">spruchsbescheids des Präsidenten des</w:t>
      </w:r>
    </w:p>
    <w:p>
      <w:r>
        <w:t xml:space="preserve">vom 14. April 2005 ist unzulässig, soweit</w:t>
      </w:r>
    </w:p>
    <w:p>
      <w:r>
        <w:t xml:space="preserve">in dem Schreiben vom 23. Februar 2005 ausgeführt wird:</w:t>
      </w:r>
    </w:p>
    <w:p>
      <w:r>
        <w:t xml:space="preserve">"… es besteht deshalb m.E. bei derartigen Fällen immer ein</w:t>
      </w:r>
    </w:p>
    <w:p>
      <w:r>
        <w:t xml:space="preserve">Verhinderungs- und damit Verlegungs- oder Vertagungs-</w:t>
      </w:r>
    </w:p>
    <w:p>
      <w:r>
        <w:t xml:space="preserve">grund".</w:t>
      </w:r>
    </w:p>
    <w:p>
      <w:r>
        <w:t xml:space="preserve">Im Übrigen wird die Revision zurückgewiesen.</w:t>
      </w:r>
    </w:p>
    <w:p>
      <w:r>
        <w:t xml:space="preserve">Der Antragsteller trägt 1/3, der Antragsgegner trägt 2/3 der Kosten</w:t>
      </w:r>
    </w:p>
    <w:p>
      <w:r>
        <w:t xml:space="preserve">des Verfahrens.</w:t>
      </w:r>
    </w:p>
    <w:p>
      <w:r>
        <w:t xml:space="preserve">Von Rechts wegen</w:t>
      </w:r>
    </w:p>
    <w:p>
      <w:pPr>
        <w:pStyle w:val="Heading2"/>
      </w:pPr>
      <w:r>
        <w:t xml:space="preserve">Tatbestand</w:t>
      </w:r>
    </w:p>
    <w:p>
      <w:r>
        <w:rPr>
          <w:b/>
        </w:rPr>
        <w:t xml:space="preserve">Rn. 2</w:t>
      </w:r>
    </w:p>
    <w:p>
      <w:r>
        <w:t xml:space="preserve">Die Beteiligten streiten darüber, ob ein Schreiben des seinerzeitigen Prä-</w:t>
      </w:r>
    </w:p>
    <w:p>
      <w:r>
        <w:t xml:space="preserve">sidenten des eine Maßnahme der Dienst-</w:t>
      </w:r>
    </w:p>
    <w:p>
      <w:r>
        <w:t xml:space="preserve">aufsicht darstellt und ob die richterliche Unabhängigkeit des Antragstellers hier-</w:t>
      </w:r>
    </w:p>
    <w:p>
      <w:r>
        <w:t xml:space="preserve">durch beeinträchtigt wird.</w:t>
      </w:r>
    </w:p>
    <w:p>
      <w:r>
        <w:t xml:space="preserve">Der Antragsteller ist Richter am . Er ist Vorsitzender</w:t>
      </w:r>
    </w:p>
    <w:p>
      <w:r>
        <w:t xml:space="preserve">der Sechsten Kammer dieses Gerichts. Der Präsident des</w:t>
      </w:r>
    </w:p>
    <w:p>
      <w:r>
        <w:t xml:space="preserve">richtete unter dem 23. Februar 2005 ein Schreiben folgen-</w:t>
      </w:r>
    </w:p>
    <w:p>
      <w:r>
        <w:t xml:space="preserve">den Wortlauts an die Präsidenten und Direktoren der Gerichte seines</w:t>
      </w:r>
    </w:p>
    <w:p>
      <w:r>
        <w:t xml:space="preserve">bezirks:</w:t>
      </w:r>
    </w:p>
    <w:p>
      <w:r>
        <w:t xml:space="preserve">"Sehr geehrte Frau Kollegin, sehr geehrter Herr Kollege,</w:t>
      </w:r>
    </w:p>
    <w:p>
      <w:r>
        <w:t xml:space="preserve">der Präsident der Rechtsanwaltskammer , Herr Dr. K. , hat mich in einem Telefongespräch darauf hingewie- sen, dass auf Grund der im Jahr 2002 durch den Bundestag be- schlossenen Reform der Juristenausbildung sich für die Anwalts- station grundlegende Änderungen ergeben haben. Insbesondere besteht eine Neuerung in der Übertragung wesentlicher Teile der organisatorischen und inhaltlichen Planung des anwaltlichen Un- terrichts auf die Rechtsanwaltskammern und damit auf eine Viel- zahl von Rechtsanwältinnen und Rechtsanwälten. Ich bitte diese gesetzliche Änderung bei den Terminierungen und insbesondere bei entsprechenden Verlegungsanträgen von Rechtsanwälten zu berücksichtigen. Es handelt sich bei diesem anwaltlichen Unter- richt um eine gesetzliche Regelung und Ausbildung, der von den Rechtsanwaltskammern nachgekommen werden muss. Die Rechtsanwälte als Organ der Rechtspflege müssen diesem ge- setzlichen Auftrag nachkommen und es besteht deshalb m.E. bei derartigen Fällen immer ein Verhinderungs- und damit Verle- gungs- oder Vertagungsgrund.</w:t>
      </w:r>
    </w:p>
    <w:p>
      <w:r>
        <w:t xml:space="preserve">Ich habe dem Präsidenten der Rechtsanwaltskammer von meinem Rundschreiben an Sie, von welchem Sie bitte ihre Richterschaft informieren, Kenntnis gegeben."</w:t>
      </w:r>
    </w:p>
    <w:p>
      <w:r>
        <w:rPr>
          <w:b/>
        </w:rPr>
        <w:t xml:space="preserve">Rn. 6</w:t>
      </w:r>
    </w:p>
    <w:p>
      <w:r>
        <w:t xml:space="preserve">Dieses Schreiben wurde den Richterinnen und Richtern der</w:t>
      </w:r>
    </w:p>
    <w:p>
      <w:r>
        <w:t xml:space="preserve">gerichtsbarkeit bekannt gegeben. Dem Antragsteller ging das Schreiben</w:t>
      </w:r>
    </w:p>
    <w:p>
      <w:r>
        <w:t xml:space="preserve">am 3. März 2005 zu.</w:t>
      </w:r>
    </w:p>
    <w:p>
      <w:r>
        <w:t xml:space="preserve">Mit einem an das Staatsministerium der Justiz gerichteten</w:t>
      </w:r>
    </w:p>
    <w:p>
      <w:r>
        <w:t xml:space="preserve">Schreiben vom 10. März 2005 erhob der Antragsteller gegen das Schreiben</w:t>
      </w:r>
    </w:p>
    <w:p>
      <w:r>
        <w:t xml:space="preserve">Widerspruch. Das Staatsministerium der Justiz leitete den Wider-</w:t>
      </w:r>
    </w:p>
    <w:p>
      <w:r>
        <w:t xml:space="preserve">spruch zuständigkeitshalber an den Präsidenten des</w:t>
      </w:r>
    </w:p>
    <w:p>
      <w:r>
        <w:t xml:space="preserve">gerichts weiter. Dieser wies den Widerspruch mit Schreiben vom 14. April</w:t>
      </w:r>
    </w:p>
    <w:p>
      <w:r>
        <w:t xml:space="preserve">2005, dem keine Rechtsbehelfsbelehrung beigefügt war, zurück. Das Schreiben</w:t>
      </w:r>
    </w:p>
    <w:p>
      <w:r>
        <w:t xml:space="preserve">ging dem Antragsteller am 18. April 2005 zu.</w:t>
      </w:r>
    </w:p>
    <w:p>
      <w:r>
        <w:t xml:space="preserve">Mit der am 18. April 2006 beim Landgericht Leipzig eingegangenen An-</w:t>
      </w:r>
    </w:p>
    <w:p>
      <w:r>
        <w:t xml:space="preserve">tragsschrift hat der Antragsteller eine gerichtliche Entscheidung des Dienstge-</w:t>
      </w:r>
    </w:p>
    <w:p>
      <w:r>
        <w:t xml:space="preserve">richts für Richter beantragt.</w:t>
      </w:r>
    </w:p>
    <w:p>
      <w:r>
        <w:t xml:space="preserve">Der Antragsteller hat die Auffassung vertreten, bei dem Schreiben des</w:t>
      </w:r>
    </w:p>
    <w:p>
      <w:r>
        <w:t xml:space="preserve">Präsidenten des vom 23. Februar 2005 in</w:t>
      </w:r>
    </w:p>
    <w:p>
      <w:r>
        <w:t xml:space="preserve">Gestalt des Widerspruchsbescheids vom 14. April 2005 handele es sich um</w:t>
      </w:r>
    </w:p>
    <w:p>
      <w:r>
        <w:t xml:space="preserve">eine Maßnahme der Dienstaufsicht, die seine richterliche Unabhängigkeit be-</w:t>
      </w:r>
    </w:p>
    <w:p>
      <w:r>
        <w:t xml:space="preserve">einträchtige. Das Schreiben vom 23. Februar 2005 beziehe sich auf sein dienst-</w:t>
      </w:r>
    </w:p>
    <w:p>
      <w:r>
        <w:t xml:space="preserve">liches Verhalten im Kernbereich richterlicher Tätigkeit. Die Entscheidung zur</w:t>
      </w:r>
    </w:p>
    <w:p>
      <w:r>
        <w:t xml:space="preserve">Bestimmung oder Änderung eines Termins zur mündlichen Verhandlung oblie-</w:t>
      </w:r>
    </w:p>
    <w:p>
      <w:r>
        <w:t xml:space="preserve">ge allein ihm als Kammervorsitzenden und sei der Dienstaufsicht grundsätzlich</w:t>
      </w:r>
    </w:p>
    <w:p>
      <w:r>
        <w:t xml:space="preserve">entzogen. Mit dem Schreiben vom 23. Februar 2005 sei es dem Präsidenten</w:t>
      </w:r>
    </w:p>
    <w:p>
      <w:r>
        <w:t xml:space="preserve">des nicht darum gegangen, auf die geänderte Rechtsla-</w:t>
      </w:r>
    </w:p>
    <w:p>
      <w:r>
        <w:t xml:space="preserve">ge in der Referendarausbildung aufmerksam zu machen, sondern um eine Ein-</w:t>
      </w:r>
    </w:p>
    <w:p>
      <w:r>
        <w:t xml:space="preserve">flussnahme auf den Inhalt richterlicher Entscheidungen bei der Terminierung</w:t>
      </w:r>
    </w:p>
    <w:p>
      <w:r>
        <w:t xml:space="preserve">und bei Terminsverlegungs- und -vertagungsanträgen. Dies ergebe sich aus</w:t>
      </w:r>
    </w:p>
    <w:p>
      <w:r>
        <w:t xml:space="preserve">der vom Präsidenten des geäußerten Bitte, die gesetzli-</w:t>
      </w:r>
    </w:p>
    <w:p>
      <w:r>
        <w:t xml:space="preserve">che Änderung bei den Terminierungen, insbesondere bei entsprechenden Ver-</w:t>
      </w:r>
    </w:p>
    <w:p>
      <w:r>
        <w:t xml:space="preserve">legungsanträgen von Rechtsanwälten, zu berücksichtigen. Darin liege ein unzu-</w:t>
      </w:r>
    </w:p>
    <w:p>
      <w:r>
        <w:t xml:space="preserve">lässiger Eingriff in die richterliche Unabhängigkeit. Durch den Hinweis darauf,</w:t>
      </w:r>
    </w:p>
    <w:p>
      <w:r>
        <w:t xml:space="preserve">dass aus seiner Sicht in derartigen Fällen immer ein Verhinderungs- und damit</w:t>
      </w:r>
    </w:p>
    <w:p>
      <w:r>
        <w:t xml:space="preserve">Verlegungs- oder Vertagungsgrund bestehe, habe der Präsident des</w:t>
      </w:r>
    </w:p>
    <w:p>
      <w:r>
        <w:t xml:space="preserve">seine Autorität als dienstaufsichtsführender "Chefpräsident" in die</w:t>
      </w:r>
    </w:p>
    <w:p>
      <w:r>
        <w:t xml:space="preserve">Waagschale geworfen, um die Richterschaft auf das von ihm gewünschte Er-</w:t>
      </w:r>
    </w:p>
    <w:p>
      <w:r>
        <w:t xml:space="preserve">gebnis festzulegen.</w:t>
      </w:r>
    </w:p>
    <w:p>
      <w:r>
        <w:rPr>
          <w:b/>
        </w:rPr>
        <w:t xml:space="preserve">Rn. 7</w:t>
      </w:r>
    </w:p>
    <w:p>
      <w:r>
        <w:t xml:space="preserve">Der Antragsteller hat beantragt</w:t>
      </w:r>
    </w:p>
    <w:p>
      <w:r>
        <w:t xml:space="preserve">festzustellen, dass das Schreiben des Präsidenten des vom 23. Februar 2005 in der Gestalt des Widerspruchsbescheids des Präsidenten des vom 14. April 2005 eine unzulässige Maß- nahme der Dienstaufsicht darstellt.</w:t>
      </w:r>
    </w:p>
    <w:p>
      <w:r>
        <w:rPr>
          <w:b/>
        </w:rPr>
        <w:t xml:space="preserve">Rn. 8</w:t>
      </w:r>
    </w:p>
    <w:p>
      <w:r>
        <w:t xml:space="preserve">Der Antragsgegner hat die Zurückweisung des Antrags beantragt und</w:t>
      </w:r>
    </w:p>
    <w:p>
      <w:r>
        <w:t xml:space="preserve">gemeint, der Antrag sei unzulässig. Das Schreiben des Präsidenten des</w:t>
      </w:r>
    </w:p>
    <w:p>
      <w:r>
        <w:t xml:space="preserve">vom 23. Februar 2005 in Gestalt des Wider-</w:t>
      </w:r>
    </w:p>
    <w:p>
      <w:r>
        <w:t xml:space="preserve">spruchsbescheids vom 14. April 2005 enthalte keine Maßnahme der Dienstauf-</w:t>
      </w:r>
    </w:p>
    <w:p>
      <w:r>
        <w:t xml:space="preserve">sicht, sondern lediglich eine Information über das mit dem Präsidenten der</w:t>
      </w:r>
    </w:p>
    <w:p>
      <w:r>
        <w:t xml:space="preserve">Rechtsanwaltskammer geführte Telefongespräch sowie die Bitte um</w:t>
      </w:r>
    </w:p>
    <w:p>
      <w:r>
        <w:t xml:space="preserve">Berücksichtigung der Gesetzesänderung insbesondere bei Terminsverlegungs-</w:t>
      </w:r>
    </w:p>
    <w:p>
      <w:r>
        <w:t xml:space="preserve">anträgen der betroffenen Rechtsanwälte. Durch die vom Präsidenten des</w:t>
      </w:r>
    </w:p>
    <w:p>
      <w:r>
        <w:t xml:space="preserve">gezogene Schlussfolgerung, bei derartigen Fäl-</w:t>
      </w:r>
    </w:p>
    <w:p>
      <w:r>
        <w:t xml:space="preserve">len liege aus seiner Sicht immer ein Verhinderungsgrund vor, werde der Infor-</w:t>
      </w:r>
    </w:p>
    <w:p>
      <w:r>
        <w:t xml:space="preserve">mationscharakter des Schreibens vom 23. Februar 2005 nicht verändert. Da-</w:t>
      </w:r>
    </w:p>
    <w:p>
      <w:r>
        <w:t xml:space="preserve">durch werde auf die Entscheidung des Richters im Einzelfall kein Einfluss ge-</w:t>
      </w:r>
    </w:p>
    <w:p>
      <w:r>
        <w:t xml:space="preserve">nommen.</w:t>
      </w:r>
    </w:p>
    <w:p>
      <w:r>
        <w:rPr>
          <w:b/>
        </w:rPr>
        <w:t xml:space="preserve">Rn. 9</w:t>
      </w:r>
    </w:p>
    <w:p>
      <w:r>
        <w:t xml:space="preserve">Das Landgericht Leipzig - Dienstgericht für Richter - hat den Antrag zu-</w:t>
      </w:r>
    </w:p>
    <w:p>
      <w:r>
        <w:t xml:space="preserve">rückgewiesen. Zur Begründung hat das Dienstgericht ausgeführt, der Antrag sei</w:t>
      </w:r>
    </w:p>
    <w:p>
      <w:r>
        <w:t xml:space="preserve">zwar zulässig, da das Schreiben des Präsidenten des</w:t>
      </w:r>
    </w:p>
    <w:p>
      <w:r>
        <w:t xml:space="preserve">vom 23. Februar 2005 eine Maßnahme der Dienstaufsicht darstelle. Der Antrag</w:t>
      </w:r>
    </w:p>
    <w:p>
      <w:r>
        <w:t xml:space="preserve">sei aber unbegründet. Das Schreiben vom 23. Februar 2005 in Gestalt des Wi-</w:t>
      </w:r>
    </w:p>
    <w:p>
      <w:r>
        <w:t xml:space="preserve">derspruchsbescheids vom 14. April 2005 beeinträchtige die richterliche Unab-</w:t>
      </w:r>
    </w:p>
    <w:p>
      <w:r>
        <w:t xml:space="preserve">hängigkeit des Antragstellers nicht. Zu der der Dienstaufsicht entzogenen rich-</w:t>
      </w:r>
    </w:p>
    <w:p>
      <w:r>
        <w:t xml:space="preserve">terlichen Tätigkeit gehörten zwar grundsätzlich auch die Terminierung von</w:t>
      </w:r>
    </w:p>
    <w:p>
      <w:r>
        <w:t xml:space="preserve">mündlichen Verhandlungen und die Entscheidung über Anträge auf Terminsver-</w:t>
      </w:r>
    </w:p>
    <w:p>
      <w:r>
        <w:t xml:space="preserve">legung. Der Dienstvorgesetzte habe sich jeder direkten oder indirekten, auch</w:t>
      </w:r>
    </w:p>
    <w:p>
      <w:r>
        <w:t xml:space="preserve">nur mental-psychischen Einflussnahme hierauf zu enthalten. Hiergegen habe</w:t>
      </w:r>
    </w:p>
    <w:p>
      <w:r>
        <w:t xml:space="preserve">der Präsident des jedoch nicht verstoßen.</w:t>
      </w:r>
    </w:p>
    <w:p>
      <w:r>
        <w:t xml:space="preserve">Erkennbares Ziel des Schreibens vom 23. Februar 2005 sei es gewesen, auf</w:t>
      </w:r>
    </w:p>
    <w:p>
      <w:r>
        <w:t xml:space="preserve">eine geänderte Rechtslage aufmerksam zu machen und darauf hinzuweisen,</w:t>
      </w:r>
    </w:p>
    <w:p>
      <w:r>
        <w:t xml:space="preserve">dass Rechtsanwälte künftig häufiger im Rahmen der Referendarausbildung mit</w:t>
      </w:r>
    </w:p>
    <w:p>
      <w:r>
        <w:t xml:space="preserve">der Durchführung von Unterrichtsveranstaltungen befasst sein würden. In die-</w:t>
      </w:r>
    </w:p>
    <w:p>
      <w:r>
        <w:t xml:space="preserve">sem Zusammenhang habe der Präsident des seine</w:t>
      </w:r>
    </w:p>
    <w:p>
      <w:r>
        <w:t xml:space="preserve">Rechtsauffassung zum Vorliegen eines Verhinderungsgrundes im Falle einer</w:t>
      </w:r>
    </w:p>
    <w:p>
      <w:r>
        <w:t xml:space="preserve">wegen Unterrichtserteilung entstehenden Terminskollision zum Ausdruck ge-</w:t>
      </w:r>
    </w:p>
    <w:p>
      <w:r>
        <w:t xml:space="preserve">bracht. Darin könne bei verständiger Würdigung des Schreibens keine Einfluss-</w:t>
      </w:r>
    </w:p>
    <w:p>
      <w:r>
        <w:t xml:space="preserve">nahme auf die eigenverantwortliche richterliche Überprüfung der zur Begrün-</w:t>
      </w:r>
    </w:p>
    <w:p>
      <w:r>
        <w:t xml:space="preserve">dung eines Verlegungsgesuchs jeweils vorgetragenen Verhinderungsgründe</w:t>
      </w:r>
    </w:p>
    <w:p>
      <w:r>
        <w:t xml:space="preserve">gesehen werden.</w:t>
      </w:r>
    </w:p>
    <w:p>
      <w:r>
        <w:rPr>
          <w:b/>
        </w:rPr>
        <w:t xml:space="preserve">Rn. 11</w:t>
      </w:r>
    </w:p>
    <w:p>
      <w:r>
        <w:t xml:space="preserve">Mit der Revision verfolgt der Antragsteller seinen Antrag weiter.</w:t>
      </w:r>
    </w:p>
    <w:p>
      <w:r>
        <w:t xml:space="preserve">Der Antragsgegner beantragt die Zurückweisung der Revision.</w:t>
      </w:r>
    </w:p>
    <w:p>
      <w:pPr>
        <w:pStyle w:val="Heading2"/>
      </w:pPr>
      <w:r>
        <w:t xml:space="preserve">Entscheidungsgründe</w:t>
      </w:r>
    </w:p>
    <w:p>
      <w:r>
        <w:rPr>
          <w:b/>
        </w:rPr>
        <w:t xml:space="preserve">Rn. 12</w:t>
      </w:r>
    </w:p>
    <w:p>
      <w:r>
        <w:t xml:space="preserve">Die zulässige Revision ist zum Teil begründet.</w:t>
      </w:r>
    </w:p>
    <w:p>
      <w:r>
        <w:t xml:space="preserve">I.</w:t>
      </w:r>
    </w:p>
    <w:p>
      <w:r>
        <w:rPr>
          <w:b/>
        </w:rPr>
        <w:t xml:space="preserve">Rn. 14</w:t>
      </w:r>
    </w:p>
    <w:p>
      <w:r>
        <w:t xml:space="preserve">Die Revision ist zulässig. Sie wurde vom Dienstgericht zugelassen (§ 80</w:t>
      </w:r>
    </w:p>
    <w:p>
      <w:r>
        <w:t xml:space="preserve">Abs. 2 DRiG).</w:t>
      </w:r>
    </w:p>
    <w:p>
      <w:r>
        <w:t xml:space="preserve">1. Nach § 45 Abs. 2 SächsRiG steht den Beteiligten im Prüfungsverfah-</w:t>
      </w:r>
    </w:p>
    <w:p>
      <w:r>
        <w:t xml:space="preserve">ren nach § 34 Nr. 4 Buchst. f SächsRiG gegen Urteile des Dienstgerichts die</w:t>
      </w:r>
    </w:p>
    <w:p>
      <w:r>
        <w:t xml:space="preserve">Revision an das Dienstgericht des Bundes nach Maßgabe des § 80 DRiG zu.</w:t>
      </w:r>
    </w:p>
    <w:p>
      <w:r>
        <w:t xml:space="preserve">Die Revision ist nach § 80 Abs. 2 DRiG stets zuzulassen. Die Revision ist daher</w:t>
      </w:r>
    </w:p>
    <w:p>
      <w:r>
        <w:t xml:space="preserve">nicht bereits kraft Gesetzes ohne weiteres zulässig, sondern bedarf der Zulas-</w:t>
      </w:r>
    </w:p>
    <w:p>
      <w:r>
        <w:t xml:space="preserve">sung durch das Dienstgericht, auch wenn diese nicht vom Bestehen besonderer</w:t>
      </w:r>
    </w:p>
    <w:p>
      <w:r>
        <w:t xml:space="preserve">Zulassungsgründe abhängt (vgl. etwa Fürst in: Fürst/Finger/Mühl/Niedermaier</w:t>
      </w:r>
    </w:p>
    <w:p>
      <w:r>
        <w:t xml:space="preserve">Beamtenrecht des Bundes und der Länder Stand: März 2003 § 80 DRiG Rn. 2;</w:t>
      </w:r>
    </w:p>
    <w:p>
      <w:r>
        <w:t xml:space="preserve">Schmidt-Räntsch DRiG 4. Aufl. § 80 Rn. 4).</w:t>
      </w:r>
    </w:p>
    <w:p>
      <w:r>
        <w:rPr>
          <w:b/>
        </w:rPr>
        <w:t xml:space="preserve">Rn. 15</w:t>
      </w:r>
    </w:p>
    <w:p>
      <w:r>
        <w:t xml:space="preserve">2. Das Dienstgericht hat die Revision zugelassen. Die Zulassung ist zwar</w:t>
      </w:r>
    </w:p>
    <w:p>
      <w:r>
        <w:t xml:space="preserve">weder im Tenor noch in den Entscheidungsgründen des angefochtenen Urteils</w:t>
      </w:r>
    </w:p>
    <w:p>
      <w:r>
        <w:t xml:space="preserve">erfolgt. Sie ergibt sich aber aus der von den Unterschriften der Richter gedeck-</w:t>
      </w:r>
    </w:p>
    <w:p>
      <w:r>
        <w:t xml:space="preserve">ten Rechtsmittelbelehrung. Dies genügt unter den gegebenen Umständen für</w:t>
      </w:r>
    </w:p>
    <w:p>
      <w:r>
        <w:t xml:space="preserve">die nach § 80 Abs. 2 DRiG zu treffende Zulassungsentscheidung.</w:t>
      </w:r>
    </w:p>
    <w:p>
      <w:r>
        <w:rPr>
          <w:b/>
        </w:rPr>
        <w:t xml:space="preserve">Rn. 16</w:t>
      </w:r>
    </w:p>
    <w:p>
      <w:r>
        <w:t xml:space="preserve">Die Zulassung eines Rechtsmittels muss zwar nach der ständigen</w:t>
      </w:r>
    </w:p>
    <w:p>
      <w:r>
        <w:t xml:space="preserve">Rechtsprechung des Bundesverwaltungsgerichts grundsätzlich entweder im</w:t>
      </w:r>
    </w:p>
    <w:p>
      <w:r>
        <w:t xml:space="preserve">Tenor oder in den Entscheidungsgründen des Urteils erfolgen. Allein die im An-</w:t>
      </w:r>
    </w:p>
    <w:p>
      <w:r>
        <w:t xml:space="preserve">schluss an die Urteilsgründe beigefügte Rechtsmittelbelehrung, nach der den</w:t>
      </w:r>
    </w:p>
    <w:p>
      <w:r>
        <w:t xml:space="preserve">Beteiligten gegen die Entscheidung ein Rechtsmittel zusteht, genügt in der Re-</w:t>
      </w:r>
    </w:p>
    <w:p>
      <w:r>
        <w:t xml:space="preserve">gel nicht als Zulassungsentscheidung. Die Entscheidung über die Zulassung</w:t>
      </w:r>
    </w:p>
    <w:p>
      <w:r>
        <w:t xml:space="preserve">eines Rechtsmittels ist eine Willenserklärung des Gerichts und kann als solche</w:t>
      </w:r>
    </w:p>
    <w:p>
      <w:r>
        <w:t xml:space="preserve">regelmäßig nur in der Entscheidungsformel, unter Umständen auch in den Ur-</w:t>
      </w:r>
    </w:p>
    <w:p>
      <w:r>
        <w:t xml:space="preserve">teilsgründen zum Ausdruck gebracht werden. Die Rechtsmittelbelehrung, nach</w:t>
      </w:r>
    </w:p>
    <w:p>
      <w:r>
        <w:t xml:space="preserve">der den Beteiligten ein Rechtsmittel gegen die Entscheidung zusteht, ist ledig-</w:t>
      </w:r>
    </w:p>
    <w:p>
      <w:r>
        <w:t xml:space="preserve">lich formal Bestandteil der Entscheidung. Sie enthält als Hinweis oder Auskunft</w:t>
      </w:r>
    </w:p>
    <w:p>
      <w:r>
        <w:t xml:space="preserve">keine Willenserklärung, sondern nur eine Wissenserklärung des Gerichts. Dies</w:t>
      </w:r>
    </w:p>
    <w:p>
      <w:r>
        <w:t xml:space="preserve">gilt grundsätzlich auch dann, wenn die Unterschriften der Richter der Rechtsmit-</w:t>
      </w:r>
    </w:p>
    <w:p>
      <w:r>
        <w:t xml:space="preserve">telbelehrung nachfolgen (vgl. BVerwG, Urteile vom 20. März 1981 - 8 B 54.81 -</w:t>
      </w:r>
    </w:p>
    <w:p>
      <w:r>
        <w:t xml:space="preserve">Buchholz 310 § 131 VwGO Nr. 1, zu II der Gründe, vom 8. Februar 1982 - 5 CB</w:t>
      </w:r>
    </w:p>
    <w:p>
      <w:r>
        <w:t xml:space="preserve">111.81 - Buchholz 310 § 131 VwGO Nr. 2, und vom 28. Februar 1985 - 2 C</w:t>
      </w:r>
    </w:p>
    <w:p>
      <w:r>
        <w:t xml:space="preserve">14.84 - BVerwGE 71, 73, 75, 76). Ausnahmsweise reicht es für die Zulassung</w:t>
      </w:r>
    </w:p>
    <w:p>
      <w:r>
        <w:t xml:space="preserve">des Rechtsmittels jedoch aus, wenn sich aus der Rechtsmittelbelehrung die</w:t>
      </w:r>
    </w:p>
    <w:p>
      <w:r>
        <w:t xml:space="preserve">Absicht des Gerichts zur Zulassung des Rechtsmittels erkennen lässt (vgl.</w:t>
      </w:r>
    </w:p>
    <w:p>
      <w:r>
        <w:t xml:space="preserve">BVerwG, Urteile vom 22. April 1970 - V C 80.68 - Buchholz 310, § 134 VwGO</w:t>
      </w:r>
    </w:p>
    <w:p>
      <w:r>
        <w:t xml:space="preserve">Nr. 13, zu 1 der Gründe, vom 14. Juni 1972 - V C 74.71 - Buchholz 310 § 134</w:t>
      </w:r>
    </w:p>
    <w:p>
      <w:r>
        <w:t xml:space="preserve">VwGO Nr. 15, zu II 1 der Gründe, und vom 16. Juni 1983 - 3 C 10.82 - Buch-</w:t>
      </w:r>
    </w:p>
    <w:p>
      <w:r>
        <w:t xml:space="preserve">holz 451.53 Fischwirtschaft Nr. 1, zu II 1 der Gründe) oder sonstige Anhalts-</w:t>
      </w:r>
    </w:p>
    <w:p>
      <w:r>
        <w:t xml:space="preserve">punkte dafür bestehen, dass das Gericht durch die Rechtsmittelbelehrung die</w:t>
      </w:r>
    </w:p>
    <w:p>
      <w:r>
        <w:t xml:space="preserve">Zulassung des Rechtsmittels aussprechen wollte (BVerwG, Urteile vom</w:t>
      </w:r>
    </w:p>
    <w:p>
      <w:r>
        <w:t xml:space="preserve">20. März 1981 - 8 B 54.81 - aaO und vom 28. Februar 1985 - 2 C 14.84 - aaO).</w:t>
      </w:r>
    </w:p>
    <w:p>
      <w:r>
        <w:rPr>
          <w:b/>
        </w:rPr>
        <w:t xml:space="preserve">Rn. 17</w:t>
      </w:r>
    </w:p>
    <w:p>
      <w:r>
        <w:t xml:space="preserve">Die Zulassung der Revision nach § 80 Abs. 2 DRiG erfordert nicht zwin-</w:t>
      </w:r>
    </w:p>
    <w:p>
      <w:r>
        <w:t xml:space="preserve">gend, dass sich die Zulassungsentscheidung des Dienstgerichts aus dem Tenor</w:t>
      </w:r>
    </w:p>
    <w:p>
      <w:r>
        <w:t xml:space="preserve">oder den Entscheidungsgründen des angefochtenen Urteils ergibt. Wegen der</w:t>
      </w:r>
    </w:p>
    <w:p>
      <w:r>
        <w:t xml:space="preserve">Besonderheiten der Revisionszulassung nach § 80 Abs. 2 DRiG genügt es für</w:t>
      </w:r>
    </w:p>
    <w:p>
      <w:r>
        <w:t xml:space="preserve">die Zulassung, wenn sich an die Entscheidungsgründe eine von den Richtern</w:t>
      </w:r>
    </w:p>
    <w:p>
      <w:r>
        <w:t xml:space="preserve">unterzeichnete Rechtsmittelbelehrung anschließt, aus der sich entnehmen</w:t>
      </w:r>
    </w:p>
    <w:p>
      <w:r>
        <w:t xml:space="preserve">lässt, dass die Beteiligten gegen die Entscheidung Revision einlegen können.</w:t>
      </w:r>
    </w:p>
    <w:p>
      <w:r>
        <w:t xml:space="preserve">Die Zulassung der Revision nach § 80 Abs. 2 DRiG ist nicht an Zulassungs-</w:t>
      </w:r>
    </w:p>
    <w:p>
      <w:r>
        <w:t xml:space="preserve">gründe gebunden. Die Revision ist vom Dienstgericht stets und ohne weitere</w:t>
      </w:r>
    </w:p>
    <w:p>
      <w:r>
        <w:t xml:space="preserve">Prüfung zuzulassen. Jede andere Entscheidung als die Zulassung der Revision</w:t>
      </w:r>
    </w:p>
    <w:p>
      <w:r>
        <w:t xml:space="preserve">für den unterlegenen Verfahrensbeteiligten wäre rechtsfehlerhaft. Die Zulas-</w:t>
      </w:r>
    </w:p>
    <w:p>
      <w:r>
        <w:t xml:space="preserve">sungsentscheidung ist daher lediglich der Vollzug der in § 80 Abs. 2 DRiG ge-</w:t>
      </w:r>
    </w:p>
    <w:p>
      <w:r>
        <w:t xml:space="preserve">troffenen Anordnung. Eine Darlegung der Gründe für die Zulassung der Revisi-</w:t>
      </w:r>
    </w:p>
    <w:p>
      <w:r>
        <w:t xml:space="preserve">on in den Entscheidungsgründen des dienstgerichtlichen Urteils ist deshalb</w:t>
      </w:r>
    </w:p>
    <w:p>
      <w:r>
        <w:t xml:space="preserve">entbehrlich. Aufgrund dieser Besonderheiten kann aus einer an die Entschei-</w:t>
      </w:r>
    </w:p>
    <w:p>
      <w:r>
        <w:t xml:space="preserve">dungsgründe des Urteils anschließenden und von den Richtern unterzeichneten</w:t>
      </w:r>
    </w:p>
    <w:p>
      <w:r>
        <w:t xml:space="preserve">Rechtsmittelbelehrung auf die Absicht des Gerichts geschlossen werden, der</w:t>
      </w:r>
    </w:p>
    <w:p>
      <w:r>
        <w:t xml:space="preserve">gesetzlichen Anordnung in § 80 Abs. 2 DRiG zu folgen und die Revision zuzu-</w:t>
      </w:r>
    </w:p>
    <w:p>
      <w:r>
        <w:t xml:space="preserve">lassen.</w:t>
      </w:r>
    </w:p>
    <w:p>
      <w:r>
        <w:rPr>
          <w:b/>
        </w:rPr>
        <w:t xml:space="preserve">Rn. 20</w:t>
      </w:r>
    </w:p>
    <w:p>
      <w:r>
        <w:t xml:space="preserve">II.</w:t>
      </w:r>
    </w:p>
    <w:p>
      <w:r>
        <w:t xml:space="preserve">Die Revision ist zum Teil begründet. Das Dienstgericht hat den Antrag zu</w:t>
      </w:r>
    </w:p>
    <w:p>
      <w:r>
        <w:t xml:space="preserve">Unrecht insgesamt zurückgewiesen.</w:t>
      </w:r>
    </w:p>
    <w:p>
      <w:r>
        <w:t xml:space="preserve">1. Der Antrag ist zulässig.</w:t>
      </w:r>
    </w:p>
    <w:p>
      <w:r>
        <w:t xml:space="preserve">a) Das im Prüfungsverfahren nach § 34 Nr. 4 Buchst. f SächsRiG gem.</w:t>
      </w:r>
    </w:p>
    <w:p>
      <w:r>
        <w:t xml:space="preserve">§ 48 Satz 2 SächsRiG erforderliche Vorverfahren wurde durchgeführt. Der An-</w:t>
      </w:r>
    </w:p>
    <w:p>
      <w:r>
        <w:t xml:space="preserve">tragsteller hat gegen das ihm am 3. März 2005 zugegangene Schreiben des</w:t>
      </w:r>
    </w:p>
    <w:p>
      <w:r>
        <w:t xml:space="preserve">Präsidenten des vom 23. Februar 2005 mit</w:t>
      </w:r>
    </w:p>
    <w:p>
      <w:r>
        <w:t xml:space="preserve">dem an das Staatsministerium der Justiz gerichteten Schreiben</w:t>
      </w:r>
    </w:p>
    <w:p>
      <w:r>
        <w:t xml:space="preserve">vom 10. März 2005 Widerspruch erhoben. Der Präsident des</w:t>
      </w:r>
    </w:p>
    <w:p>
      <w:r>
        <w:t xml:space="preserve">hat den ihm zuständigkeitshalber (§ 71 Abs. 3 DRiG, § 126</w:t>
      </w:r>
    </w:p>
    <w:p>
      <w:r>
        <w:rPr>
          <w:b/>
        </w:rPr>
        <w:t xml:space="preserve">Rn. 22</w:t>
      </w:r>
    </w:p>
    <w:p>
      <w:r>
        <w:t xml:space="preserve">Abs. 3 Nr. 2 BRRG iVm. § 1 Abs. 2 der Verordnung der Sächsischen Staatsre-</w:t>
      </w:r>
    </w:p>
    <w:p>
      <w:r>
        <w:t xml:space="preserve">gierung zur Übertragung von Zuständigkeiten für den Erlass von Widerspruchs-</w:t>
      </w:r>
    </w:p>
    <w:p>
      <w:r>
        <w:t xml:space="preserve">bescheiden und zur Vertretung des Freistaats Sachsen bei Klagen aus dem</w:t>
      </w:r>
    </w:p>
    <w:p>
      <w:r>
        <w:t xml:space="preserve">Beamtenverhältnis vom 27. April 1993 [SächsGVBl. 1993, 369 f.]) zugeleiteten</w:t>
      </w:r>
    </w:p>
    <w:p>
      <w:r>
        <w:t xml:space="preserve">Widerspruch durch Bescheid vom 14. April 2005 zurückgewiesen.</w:t>
      </w:r>
    </w:p>
    <w:p>
      <w:r>
        <w:t xml:space="preserve">b) Die Antragsfrist ist gewahrt.</w:t>
      </w:r>
    </w:p>
    <w:p>
      <w:r>
        <w:t xml:space="preserve">aa) Nach § 83, § 66 Abs. 1 Satz 1 DRiG, § 45 Abs. 1 SächsRiG gelten</w:t>
      </w:r>
    </w:p>
    <w:p>
      <w:r>
        <w:t xml:space="preserve">für Prüfungsverfahren nach § 34 Nr. 4 Buchst. f SächsRiG die Vorschriften der</w:t>
      </w:r>
    </w:p>
    <w:p>
      <w:r>
        <w:t xml:space="preserve">VwGO entsprechend. Danach muss die Anfechtung einer Maßnahme der</w:t>
      </w:r>
    </w:p>
    <w:p>
      <w:r>
        <w:t xml:space="preserve">Dienstaufsicht aus den Gründen des § 26 Abs. 3 DRiG nach § 74 Abs. 1 VwGO</w:t>
      </w:r>
    </w:p>
    <w:p>
      <w:r>
        <w:t xml:space="preserve">innerhalb eines Monats nach Zustellung des Widerspruchsbescheids durch Ein-</w:t>
      </w:r>
    </w:p>
    <w:p>
      <w:r>
        <w:t xml:space="preserve">reichung einer Antragsschrift beim Dienstgericht erfolgen. Die Monatsfrist be-</w:t>
      </w:r>
    </w:p>
    <w:p>
      <w:r>
        <w:t xml:space="preserve">ginnt nach § 58 Abs. 1 Satz 1 VwGO nur nach Erteilung einer entsprechenden</w:t>
      </w:r>
    </w:p>
    <w:p>
      <w:r>
        <w:t xml:space="preserve">Rechtsbehelfsbelehrung zu laufen. Ist die Rechtsbehelfsbelehrung unterblie-</w:t>
      </w:r>
    </w:p>
    <w:p>
      <w:r>
        <w:t xml:space="preserve">ben, ist die Einlegung des Rechtsbehelfs nach § 58 Abs. 2 Satz 1 VwGO inner-</w:t>
      </w:r>
    </w:p>
    <w:p>
      <w:r>
        <w:t xml:space="preserve">halb eines Jahres seit Zustellung, Eröffnung oder Verkündung des Wider-</w:t>
      </w:r>
    </w:p>
    <w:p>
      <w:r>
        <w:t xml:space="preserve">spruchsbescheids zulässig.</w:t>
      </w:r>
    </w:p>
    <w:p>
      <w:r>
        <w:rPr>
          <w:b/>
        </w:rPr>
        <w:t xml:space="preserve">Rn. 23</w:t>
      </w:r>
    </w:p>
    <w:p>
      <w:r>
        <w:t xml:space="preserve">bb) Diese Voraussetzungen hat der Antragsteller eingehalten. Die An-</w:t>
      </w:r>
    </w:p>
    <w:p>
      <w:r>
        <w:t xml:space="preserve">tragsschrift ist zwar erst am 18. April 2006 beim Dienstgericht eingegangen,</w:t>
      </w:r>
    </w:p>
    <w:p>
      <w:r>
        <w:t xml:space="preserve">obwohl der Widerspruchsbescheid dem Antragsteller nach seinem unbestritte-</w:t>
      </w:r>
    </w:p>
    <w:p>
      <w:r>
        <w:t xml:space="preserve">nen Vorbringen bereits am 18. April 2005 zugegangen ist. Die Frist zur Antrag-</w:t>
      </w:r>
    </w:p>
    <w:p>
      <w:r>
        <w:t xml:space="preserve">stellung lief jedoch erst am 18. April 2006 ab, da der Widerspruchsbescheid</w:t>
      </w:r>
    </w:p>
    <w:p>
      <w:r>
        <w:t xml:space="preserve">keine Rechtsbehelfsbelehrung enthielt.</w:t>
      </w:r>
    </w:p>
    <w:p>
      <w:r>
        <w:rPr>
          <w:b/>
        </w:rPr>
        <w:t xml:space="preserve">Rn. 24</w:t>
      </w:r>
    </w:p>
    <w:p>
      <w:r>
        <w:t xml:space="preserve">c) Der Antrag ist entgegen der Auffassung des Beklagten nicht deshalb</w:t>
      </w:r>
    </w:p>
    <w:p>
      <w:r>
        <w:t xml:space="preserve">unzulässig, weil es sich bei dem Schreiben des Präsidenten des</w:t>
      </w:r>
    </w:p>
    <w:p>
      <w:r>
        <w:t xml:space="preserve">vom 23. Februar 2005 nicht um eine Maßnahme der</w:t>
      </w:r>
    </w:p>
    <w:p>
      <w:r>
        <w:t xml:space="preserve">Dienstaufsicht handelte. Das Dienstgericht hat das Schreiben zu Recht als</w:t>
      </w:r>
    </w:p>
    <w:p>
      <w:r>
        <w:t xml:space="preserve">Maßnahme der Dienstaufsicht iSv § 26 Abs. 3 DRiG angesehen, die Gegen-</w:t>
      </w:r>
    </w:p>
    <w:p>
      <w:r>
        <w:t xml:space="preserve">stand eines Prüfungsverfahrens sein kann.</w:t>
      </w:r>
    </w:p>
    <w:p>
      <w:r>
        <w:rPr>
          <w:b/>
        </w:rPr>
        <w:t xml:space="preserve">Rn. 25</w:t>
      </w:r>
    </w:p>
    <w:p>
      <w:r>
        <w:t xml:space="preserve">aa) Das Dienstgericht des Bundes hat den Begriff "Maßnahme der</w:t>
      </w:r>
    </w:p>
    <w:p>
      <w:r>
        <w:t xml:space="preserve">Dienstaufsicht" entsprechend dem auf einen umfassenden Rechtsschutz der</w:t>
      </w:r>
    </w:p>
    <w:p>
      <w:r>
        <w:t xml:space="preserve">richterlichen Unabhängigkeit gerichteten Zweck des § 26 Abs. 3 DRiG seit jeher</w:t>
      </w:r>
    </w:p>
    <w:p>
      <w:r>
        <w:t xml:space="preserve">weit ausgelegt. Der Begriff setzt nicht voraus, dass der Dienstvorgesetzte oder</w:t>
      </w:r>
    </w:p>
    <w:p>
      <w:r>
        <w:t xml:space="preserve">die Dienstaufsichtsbehörde sich unmittelbar an den Richter gewandt hat. Es</w:t>
      </w:r>
    </w:p>
    <w:p>
      <w:r>
        <w:t xml:space="preserve">genügt bereits eine Einflussnahme, die sich lediglich mittelbar auf die recht-</w:t>
      </w:r>
    </w:p>
    <w:p>
      <w:r>
        <w:t xml:space="preserve">sprechende Tätigkeit des Richters auswirkt oder darauf abzielt. Erforderlich ist</w:t>
      </w:r>
    </w:p>
    <w:p>
      <w:r>
        <w:t xml:space="preserve">jedoch, dass sich das Verhalten einer dienstaufsichtführenden Behörde bei ob-</w:t>
      </w:r>
    </w:p>
    <w:p>
      <w:r>
        <w:t xml:space="preserve">jektiver Betrachtung gegen einen bestimmten Richter oder eine bestimmte</w:t>
      </w:r>
    </w:p>
    <w:p>
      <w:r>
        <w:t xml:space="preserve">Gruppe von Richtern wendet, es also zu einem konkreten Konfliktfall zwischen</w:t>
      </w:r>
    </w:p>
    <w:p>
      <w:r>
        <w:t xml:space="preserve">der Justizverwaltung und dem Richter oder bestimmten Richtern gekommen ist</w:t>
      </w:r>
    </w:p>
    <w:p>
      <w:r>
        <w:t xml:space="preserve">(st. Rspr., vgl. etwa BGH, Urteil vom 1. März 2002 - RiZ(R) 1/01 - NJW-RR</w:t>
      </w:r>
    </w:p>
    <w:p>
      <w:r>
        <w:t xml:space="preserve">2002, 929, 931 mwN). Eine Maßnahme der Dienstaufsicht muss sich in irgend-</w:t>
      </w:r>
    </w:p>
    <w:p>
      <w:r>
        <w:t xml:space="preserve">einer Weise kritisch mit dem dienstlichen Verhalten eines oder mehrerer Richter</w:t>
      </w:r>
    </w:p>
    <w:p>
      <w:r>
        <w:t xml:space="preserve">befassen oder geeignet sein, sich auf das künftige Verhalten dieser Richter in</w:t>
      </w:r>
    </w:p>
    <w:p>
      <w:r>
        <w:t xml:space="preserve">bestimmter Richtung auszuwirken. Wegen dieser erforderlichen Zielsetzung</w:t>
      </w:r>
    </w:p>
    <w:p>
      <w:r>
        <w:t xml:space="preserve">sind bloße Meinungsäußerungen einer dienstaufsichtführenden Stelle zu einer</w:t>
      </w:r>
    </w:p>
    <w:p>
      <w:r>
        <w:t xml:space="preserve">Rechtsfrage nicht als "Maßnahme der Dienstaufsicht" iSd. § 26 Abs. 3 DRiG</w:t>
      </w:r>
    </w:p>
    <w:p>
      <w:r>
        <w:t xml:space="preserve">anzusehen (vgl. etwa BGH, Urteile vom 12. November 1973 - RiZ(R) 1/73 -</w:t>
      </w:r>
    </w:p>
    <w:p>
      <w:r>
        <w:t xml:space="preserve">BGHZ 61, 374, 378 f., vom 12. November 1973 - RiZ(R) 3/73 - DRiZ 1974, 99,</w:t>
      </w:r>
    </w:p>
    <w:p>
      <w:r>
        <w:t xml:space="preserve">100, vom 5. Februar 1980 - RiZ(R) 1/79 - DRiZ 1980, 229, 230 und vom</w:t>
      </w:r>
    </w:p>
    <w:p>
      <w:r>
        <w:t xml:space="preserve">26. Juni 1984 - RiZ(R) 2/84 - NJW 1984, 2471, 2472).</w:t>
      </w:r>
    </w:p>
    <w:p>
      <w:r>
        <w:rPr>
          <w:b/>
        </w:rPr>
        <w:t xml:space="preserve">Rn. 26</w:t>
      </w:r>
    </w:p>
    <w:p>
      <w:r>
        <w:t xml:space="preserve">bb) Nach diesen Grundsätzen stellt das Schreiben des Präsidenten des</w:t>
      </w:r>
    </w:p>
    <w:p>
      <w:r>
        <w:t xml:space="preserve">vom 23. Februar 2005 eine Maßnahme der</w:t>
      </w:r>
    </w:p>
    <w:p>
      <w:r>
        <w:t xml:space="preserve">Dienstaufsicht iSv § 26 Abs. 3 DRiG dar. Das Schreiben ist zwar nicht unmittel-</w:t>
      </w:r>
    </w:p>
    <w:p>
      <w:r>
        <w:t xml:space="preserve">bar an den Antragsteller und auch nicht an eine Gruppe von Richtern gerichtet,</w:t>
      </w:r>
    </w:p>
    <w:p>
      <w:r>
        <w:t xml:space="preserve">denen der Antragsteller angehört, sondern an die Präsidenten und Direktoren</w:t>
      </w:r>
    </w:p>
    <w:p>
      <w:r>
        <w:t xml:space="preserve">der gerichte in Sachsen. In dem Schreiben wird auf eine geänderte</w:t>
      </w:r>
    </w:p>
    <w:p>
      <w:r>
        <w:t xml:space="preserve">Rechtslage bei der Juristenausbildung sowie darauf hingewiesen, dass von die-</w:t>
      </w:r>
    </w:p>
    <w:p>
      <w:r>
        <w:t xml:space="preserve">sen Änderungen zahlreiche Rechtsanwältinnen und Rechtsanwälte betroffen</w:t>
      </w:r>
    </w:p>
    <w:p>
      <w:r>
        <w:t xml:space="preserve">sind, die mit der Erteilung von Unterricht für Rechtsreferendare befasst werden.</w:t>
      </w:r>
    </w:p>
    <w:p>
      <w:r>
        <w:t xml:space="preserve">Damit besitzt das Schreiben den Charakter einer Information der Gerichtsvor-</w:t>
      </w:r>
    </w:p>
    <w:p>
      <w:r>
        <w:t xml:space="preserve">stände. Aufgrund der am Ende des Schreibens geäußerten Bitte, der Richter-</w:t>
      </w:r>
    </w:p>
    <w:p>
      <w:r>
        <w:t xml:space="preserve">schaft von dem Schreiben Kenntnis zu geben, ist mit dem Schreiben jedoch</w:t>
      </w:r>
    </w:p>
    <w:p>
      <w:r>
        <w:t xml:space="preserve">zugleich auch eine Information der Richterschaft bezweckt. Damit ist auch der</w:t>
      </w:r>
    </w:p>
    <w:p>
      <w:r>
        <w:t xml:space="preserve">Antragsteller Adressat des Schreibens. Der Präsident des</w:t>
      </w:r>
    </w:p>
    <w:p>
      <w:r>
        <w:t xml:space="preserve">hat sich allerdings nicht auf eine reine Information der Rich-</w:t>
      </w:r>
    </w:p>
    <w:p>
      <w:r>
        <w:t xml:space="preserve">terschaft beschränkt, sondern auch um Berücksichtigung der mitgeteilten Um-</w:t>
      </w:r>
    </w:p>
    <w:p>
      <w:r>
        <w:t xml:space="preserve">stände bei den Terminierungen und insbesondere bei entsprechenden Verle-</w:t>
      </w:r>
    </w:p>
    <w:p>
      <w:r>
        <w:t xml:space="preserve">gungs- und Vertagungsanträgen von Rechtsanwälten gebeten. Außerdem hat</w:t>
      </w:r>
    </w:p>
    <w:p>
      <w:r>
        <w:t xml:space="preserve">er seiner Ansicht Ausdruck verliehen, dass diese Umstände immer einen</w:t>
      </w:r>
    </w:p>
    <w:p>
      <w:r>
        <w:t xml:space="preserve">Verhinderungs- und damit einen Verlegungs- oder Vertagungsgrund bildeten.</w:t>
      </w:r>
    </w:p>
    <w:p>
      <w:r>
        <w:t xml:space="preserve">Damit erschöpft sich das Schreiben nicht lediglich in der Kundgabe allgemein</w:t>
      </w:r>
    </w:p>
    <w:p>
      <w:r>
        <w:t xml:space="preserve">gehaltener rechtlicher Hinweise, sondern ist geeignet, die richterliche Tätigkeit,</w:t>
      </w:r>
    </w:p>
    <w:p>
      <w:r>
        <w:t xml:space="preserve">zu der auch die Terminierung von Rechtsstreitigkeiten und die Behandlung von</w:t>
      </w:r>
    </w:p>
    <w:p>
      <w:r>
        <w:t xml:space="preserve">Verlegungs- und Vertagungsanträgen von Rechtsanwälten gehört, zu beein-</w:t>
      </w:r>
    </w:p>
    <w:p>
      <w:r>
        <w:t xml:space="preserve">flussen.</w:t>
      </w:r>
    </w:p>
    <w:p>
      <w:r>
        <w:rPr>
          <w:b/>
        </w:rPr>
        <w:t xml:space="preserve">Rn. 27</w:t>
      </w:r>
    </w:p>
    <w:p>
      <w:r>
        <w:t xml:space="preserve">Da der Antragsteller behauptet, durch das Schreiben des Präsidenten</w:t>
      </w:r>
    </w:p>
    <w:p>
      <w:r>
        <w:t xml:space="preserve">des in seiner richterlichen Unabhängigkeit</w:t>
      </w:r>
    </w:p>
    <w:p>
      <w:r>
        <w:t xml:space="preserve">beeinträchtigt zu sein und seine Behauptung nicht von vornherein völlig fern</w:t>
      </w:r>
    </w:p>
    <w:p>
      <w:r>
        <w:t xml:space="preserve">liegend erscheint (vgl. dazu BGH, Urteile vom 10. Januar 1985 - RiZ(R) 7/84 -</w:t>
      </w:r>
    </w:p>
    <w:p>
      <w:r>
        <w:t xml:space="preserve">BGHZ 93, 238, 243, vom 16. September 1987 - RiZ(R) 5/87 - NJW 1988, 421,</w:t>
      </w:r>
    </w:p>
    <w:p>
      <w:r>
        <w:t xml:space="preserve">vom 10. August 2001 - RiZ(R) 5/00 - NJW 2002, 359 und vom 16. März 2005</w:t>
      </w:r>
    </w:p>
    <w:p>
      <w:r>
        <w:t xml:space="preserve">- RiZ(R) 2/04 - BGHZ 162, 333), hat das Dienstgericht den Antrag zu Recht als</w:t>
      </w:r>
    </w:p>
    <w:p>
      <w:r>
        <w:t xml:space="preserve">zulässig angesehen.</w:t>
      </w:r>
    </w:p>
    <w:p>
      <w:r>
        <w:rPr>
          <w:b/>
        </w:rPr>
        <w:t xml:space="preserve">Rn. 28</w:t>
      </w:r>
    </w:p>
    <w:p>
      <w:r>
        <w:t xml:space="preserve">2. Der Antrag ist zum Teil begründet. Das Dienstgericht hat den Antrag,</w:t>
      </w:r>
    </w:p>
    <w:p>
      <w:r>
        <w:t xml:space="preserve">der sich gegen das Schreiben des Präsidenten des vom</w:t>
      </w:r>
    </w:p>
    <w:p>
      <w:r>
        <w:t xml:space="preserve">23. Februar 2005 insgesamt richtet, zu Unrecht vollständig zurückgewiesen.</w:t>
      </w:r>
    </w:p>
    <w:p>
      <w:r>
        <w:t xml:space="preserve">Der Antrag ist zwar unbegründet, soweit der Antragsteller geltend macht, er</w:t>
      </w:r>
    </w:p>
    <w:p>
      <w:r>
        <w:t xml:space="preserve">werde durch die seitens des Präsidenten des geäußerte</w:t>
      </w:r>
    </w:p>
    <w:p>
      <w:r>
        <w:t xml:space="preserve">Bitte, die Unterrichtsverpflichtung der Rechtsanwälte im Rahmen der Referen-</w:t>
      </w:r>
    </w:p>
    <w:p>
      <w:r>
        <w:t xml:space="preserve">darausbildung bei der Terminierung, insbesondere bei Verlegungsanträgen, zu</w:t>
      </w:r>
    </w:p>
    <w:p>
      <w:r>
        <w:t xml:space="preserve">berücksichtigen, in seiner richterlichen Unabhängigkeit beeinträchtigt. Anders</w:t>
      </w:r>
    </w:p>
    <w:p>
      <w:r>
        <w:t xml:space="preserve">verhält es sich jedoch, was die Meinungsäußerung des Präsidenten des</w:t>
      </w:r>
    </w:p>
    <w:p>
      <w:r>
        <w:t xml:space="preserve">betrifft, nach seiner Auffassung bestehe in derartigen Fällen</w:t>
      </w:r>
    </w:p>
    <w:p>
      <w:r>
        <w:t xml:space="preserve">immer ein Verhinderungs- und damit ein Verlegungs- oder Vertagungsgrund.</w:t>
      </w:r>
    </w:p>
    <w:p>
      <w:r>
        <w:t xml:space="preserve">Dies läuft auf einen Versuch einer Beeinflussung hinaus, wie der Richter über</w:t>
      </w:r>
    </w:p>
    <w:p>
      <w:r>
        <w:t xml:space="preserve">Terminsverlegungsanträge, die mit der Unterrichtsverpflichtung begründet wer-</w:t>
      </w:r>
    </w:p>
    <w:p>
      <w:r>
        <w:t xml:space="preserve">den, entscheiden soll. Dadurch wird der Antragsteller in seiner richterlichen Un-</w:t>
      </w:r>
    </w:p>
    <w:p>
      <w:r>
        <w:t xml:space="preserve">abhängigkeit beeinträchtigt.</w:t>
      </w:r>
    </w:p>
    <w:p>
      <w:r>
        <w:rPr>
          <w:b/>
        </w:rPr>
        <w:t xml:space="preserve">Rn. 29</w:t>
      </w:r>
    </w:p>
    <w:p>
      <w:r>
        <w:t xml:space="preserve">a) Nach § 26 DRiG untersteht der Richter einer Dienstaufsicht nur, so-</w:t>
      </w:r>
    </w:p>
    <w:p>
      <w:r>
        <w:t xml:space="preserve">weit nicht seine richterliche Unabhängigkeit beeinträchtigt wird. Dienstvorge-</w:t>
      </w:r>
    </w:p>
    <w:p>
      <w:r>
        <w:t xml:space="preserve">setzte haben sich daher im Kernbereich richterlicher Tätigkeiten jeglicher Ein-</w:t>
      </w:r>
    </w:p>
    <w:p>
      <w:r>
        <w:t xml:space="preserve">flussnahme zu enthalten (st. Rspr., vgl. etwa BGH, Urteile vom 9. März 1967</w:t>
      </w:r>
    </w:p>
    <w:p>
      <w:r>
        <w:t xml:space="preserve">- RiZ(R) 2/66 - BGHZ 47, 275, 282 f. und vom 10. Januar 1985 - RiZ(R) 7/84 -</w:t>
      </w:r>
    </w:p>
    <w:p>
      <w:r>
        <w:t xml:space="preserve">BGHZ 93, 238, 241). Im Interesse eines wirksamen Schutzes der richterlichen</w:t>
      </w:r>
    </w:p>
    <w:p>
      <w:r>
        <w:t xml:space="preserve">Unabhängigkeit ist nicht nur die eigentliche Rechtsfindung der Dienstaufsicht</w:t>
      </w:r>
    </w:p>
    <w:p>
      <w:r>
        <w:t xml:space="preserve">entzogen, sondern zugleich alle ihr auch nur mittelbar dienenden, sie vorberei-</w:t>
      </w:r>
    </w:p>
    <w:p>
      <w:r>
        <w:t xml:space="preserve">tenden oder ihr nachfolgenden Sach- und Verfahrensentscheidungen (st. Rspr.,</w:t>
      </w:r>
    </w:p>
    <w:p>
      <w:r>
        <w:t xml:space="preserve">vgl. etwa BGH, Urteile vom 23. Oktober 1963 - RiZ(R) 1/62 - BGHZ 42, 163,</w:t>
      </w:r>
    </w:p>
    <w:p>
      <w:r>
        <w:t xml:space="preserve">169, vom 14. April 1997 - RiZ(R) 1/96 - DRiZ 1997, 467, 468 f. und vom</w:t>
      </w:r>
    </w:p>
    <w:p>
      <w:r>
        <w:t xml:space="preserve">22. Februar 2006 - RiZ(R) 3/05 - NJW 2006, 1674, 1675). Eine Maßnahme der</w:t>
      </w:r>
    </w:p>
    <w:p>
      <w:r>
        <w:t xml:space="preserve">Dienstaufsicht ist wegen einer Beeinträchtigung der richterlichen Unabhängig-</w:t>
      </w:r>
    </w:p>
    <w:p>
      <w:r>
        <w:t xml:space="preserve">keit unzulässig, wenn sie im Bereich der eigentlichen Rechtsfindung auf eine</w:t>
      </w:r>
    </w:p>
    <w:p>
      <w:r>
        <w:t xml:space="preserve">direkte oder indirekte Weisung hinausläuft, wie der Richter entscheiden oder</w:t>
      </w:r>
    </w:p>
    <w:p>
      <w:r>
        <w:t xml:space="preserve">verfahren soll. Insoweit muss sich die Dienstaufsicht auch jeder psychischen</w:t>
      </w:r>
    </w:p>
    <w:p>
      <w:r>
        <w:t xml:space="preserve">Einflussnahme enthalten. Auch der Versuch, die Entscheidungsfreiheit des</w:t>
      </w:r>
    </w:p>
    <w:p>
      <w:r>
        <w:t xml:space="preserve">Richters zu beeinträchtigen, ist unzulässig (vgl. etwa BGH, Urteil vom</w:t>
      </w:r>
    </w:p>
    <w:p>
      <w:r>
        <w:t xml:space="preserve">27. Januar 1995 - RiZ(R) 3/94 - DRiZ 1995, 352, 353). Dies gilt selbst dann,</w:t>
      </w:r>
    </w:p>
    <w:p>
      <w:r>
        <w:t xml:space="preserve">wenn eine Rechtsanwendung für fehlerhaft gehalten oder ein Verfahren als</w:t>
      </w:r>
    </w:p>
    <w:p>
      <w:r>
        <w:t xml:space="preserve">nicht im Einklang mit dem Gesetz angesehen wird. Nur wenn es sich um einen</w:t>
      </w:r>
    </w:p>
    <w:p>
      <w:r>
        <w:t xml:space="preserve">offensichtlichen und jedem Zweifel entrückten Fehlgriff handelt, kann etwas an-</w:t>
      </w:r>
    </w:p>
    <w:p>
      <w:r>
        <w:t xml:space="preserve">deres gelten (st. Rspr., vgl. etwa BGH, Urteile vom 27. September 1976</w:t>
      </w:r>
    </w:p>
    <w:p>
      <w:r>
        <w:t xml:space="preserve">- RiZ(R) 3/75 - BGHZ 67, 184, 187, vom 1. Dezember 1983 - RiZ(R) 5/83 -</w:t>
      </w:r>
    </w:p>
    <w:p>
      <w:r>
        <w:t xml:space="preserve">DRiZ 1984, 194, 195, vom 12. Oktober 1995 - RiZ(R) 2/95 - DRiZ 1996, 371,</w:t>
      </w:r>
    </w:p>
    <w:p>
      <w:r>
        <w:t xml:space="preserve">372, vom 5. Juli 2000 - RiZ(R) 6/99 - NJW-RR 2001, 498, 499 und vom</w:t>
      </w:r>
    </w:p>
    <w:p>
      <w:r>
        <w:t xml:space="preserve">3. November 2004 - RiZ(R) 4/03 - NJW-RR 2005, 433, 435 mwN).</w:t>
      </w:r>
    </w:p>
    <w:p>
      <w:r>
        <w:rPr>
          <w:b/>
        </w:rPr>
        <w:t xml:space="preserve">Rn. 30</w:t>
      </w:r>
    </w:p>
    <w:p>
      <w:r>
        <w:t xml:space="preserve">Lediglich in Teilbereichen ist die richterliche Amtstätigkeit der Dienstauf-</w:t>
      </w:r>
    </w:p>
    <w:p>
      <w:r>
        <w:t xml:space="preserve">sicht zugänglich. Dies ergibt sich aus § 26 Abs. 1 und Abs. 2 DRiG. Nach § 26</w:t>
      </w:r>
    </w:p>
    <w:p>
      <w:r>
        <w:t xml:space="preserve">Abs. 2 DRiG steht der Dienstaufsicht die Befugnis zu, dem Richter die ord-</w:t>
      </w:r>
    </w:p>
    <w:p>
      <w:r>
        <w:t xml:space="preserve">nungswidrige Art der Amtsführung von Dienstgeschäften vorzuhalten und ihn zu</w:t>
      </w:r>
    </w:p>
    <w:p>
      <w:r>
        <w:t xml:space="preserve">ordnungsgemäßer, unverzögerter Erledigung der Amtsgeschäfte zu ermahnen</w:t>
      </w:r>
    </w:p>
    <w:p>
      <w:r>
        <w:t xml:space="preserve">(BGH, Urteile vom 23. Oktober 1963 - RiZ 1/62 - BGHZ 42, 163, 169 f., und</w:t>
      </w:r>
    </w:p>
    <w:p>
      <w:r>
        <w:t xml:space="preserve">vom 10. Januar 1985 - RiZ(R) 7/84 - BGHZ 93, 238, 243, 244). Diese Vorschrift</w:t>
      </w:r>
    </w:p>
    <w:p>
      <w:r>
        <w:t xml:space="preserve">hätte keinen Anwendungsbereich, wenn die richterliche Tätigkeit der Dienstauf-</w:t>
      </w:r>
    </w:p>
    <w:p>
      <w:r>
        <w:t xml:space="preserve">sicht vollständig entzogen wäre. Nach ständiger Rechtsprechung des Dienstge-</w:t>
      </w:r>
    </w:p>
    <w:p>
      <w:r>
        <w:t xml:space="preserve">richts des Bundes unterliegt daher die richterliche Amtsführung der Dienstauf-</w:t>
      </w:r>
    </w:p>
    <w:p>
      <w:r>
        <w:t xml:space="preserve">sicht, soweit es um die Sicherung eines ordnungsgemäßen Geschäftsablaufs,</w:t>
      </w:r>
    </w:p>
    <w:p>
      <w:r>
        <w:t xml:space="preserve">die äußere Form der Erledigung der Amtsgeschäfte oder um solche Fragen</w:t>
      </w:r>
    </w:p>
    <w:p>
      <w:r>
        <w:t xml:space="preserve">geht, die dem Kernbereich der eigentlichen Rechtsprechung so weit entrückt</w:t>
      </w:r>
    </w:p>
    <w:p>
      <w:r>
        <w:t xml:space="preserve">sind, dass sie nur noch als der äußeren Ordnung zugehörig anzusehen sind</w:t>
      </w:r>
    </w:p>
    <w:p>
      <w:r>
        <w:t xml:space="preserve">(vgl. etwa BGH, Urteile vom 10. Januar 1985 - RiZ(R) 7/84 - BGHZ 93, 238,</w:t>
      </w:r>
    </w:p>
    <w:p>
      <w:r>
        <w:t xml:space="preserve">244, vom 19. September 1987 - RiZ(R) 5/87 - NJW 1988, 421, 422, vom</w:t>
      </w:r>
    </w:p>
    <w:p>
      <w:r>
        <w:t xml:space="preserve">27. Januar 1995 - RiZ(R) 6/94 -, zu 2 der Gründe und vom 1. März 2002</w:t>
      </w:r>
    </w:p>
    <w:p>
      <w:r>
        <w:t xml:space="preserve">- RiZ(R) 1/01 - NJW-RR 2002, 929, 931).</w:t>
      </w:r>
    </w:p>
    <w:p>
      <w:r>
        <w:rPr>
          <w:b/>
        </w:rPr>
        <w:t xml:space="preserve">Rn. 31</w:t>
      </w:r>
    </w:p>
    <w:p>
      <w:r>
        <w:t xml:space="preserve">b) Nach diesen Grundsätzen wird der Antragsteller durch die in dem</w:t>
      </w:r>
    </w:p>
    <w:p>
      <w:r>
        <w:t xml:space="preserve">Schreiben des Präsidenten des vom 23. Februar 2005</w:t>
      </w:r>
    </w:p>
    <w:p>
      <w:r>
        <w:t xml:space="preserve">geäußerte Bitte, die Unterrichtsverpflichtung der Rechtsanwälte im Rahmen der</w:t>
      </w:r>
    </w:p>
    <w:p>
      <w:r>
        <w:t xml:space="preserve">Referendarausbildung bei der Terminierung von Rechtsstreitigkeiten und insbe-</w:t>
      </w:r>
    </w:p>
    <w:p>
      <w:r>
        <w:t xml:space="preserve">sondere bei Verlegungsanträgen zu berücksichtigen, nicht in seiner richterli-</w:t>
      </w:r>
    </w:p>
    <w:p>
      <w:r>
        <w:t xml:space="preserve">chen Unabhängigkeit beeinträchtigt. Diese Bitte berührt zwar die dem Kernbe-</w:t>
      </w:r>
    </w:p>
    <w:p>
      <w:r>
        <w:t xml:space="preserve">reich richterlicher Tätigkeit zuzuordnende Terminierung von Rechtsstreitigkei-</w:t>
      </w:r>
    </w:p>
    <w:p>
      <w:r>
        <w:t xml:space="preserve">ten. Die Bitte enthält jedoch lediglich einen Hinweis auf die nach § 227 ZPO</w:t>
      </w:r>
    </w:p>
    <w:p>
      <w:r>
        <w:t xml:space="preserve">offensichtlich und zweifelsfrei bestehende Rechtslage. Danach obliegt es dem</w:t>
      </w:r>
    </w:p>
    <w:p>
      <w:r>
        <w:t xml:space="preserve">Richter, bei einem Antrag auf Terminsaufhebung, -verlegung oder -vertagung</w:t>
      </w:r>
    </w:p>
    <w:p>
      <w:r>
        <w:t xml:space="preserve">zu prüfen, ob hierfür ein erheblicher Grund besteht. Liegt ein erheblicher Grund</w:t>
      </w:r>
    </w:p>
    <w:p>
      <w:r>
        <w:t xml:space="preserve">für die beantragte Terminsänderung vor, eröffnet dies nicht nur die Möglichkeit,</w:t>
      </w:r>
    </w:p>
    <w:p>
      <w:r>
        <w:t xml:space="preserve">sondern begründet die Pflicht des Gerichts zur Terminsänderung (vgl. BSG,</w:t>
      </w:r>
    </w:p>
    <w:p>
      <w:r>
        <w:t xml:space="preserve">Urteil vom 10. August 1995 - 11 RAr 51/95 - NJW 1996, 677, 678). Ein erhebli-</w:t>
      </w:r>
    </w:p>
    <w:p>
      <w:r>
        <w:t xml:space="preserve">cher Grund für eine Terminsänderung kann in einer Terminskollision bei dem</w:t>
      </w:r>
    </w:p>
    <w:p>
      <w:r>
        <w:t xml:space="preserve">Prozessbevollmächtigten einer Partei bestehen (BSG, Urteil vom 10. August</w:t>
      </w:r>
    </w:p>
    <w:p>
      <w:r>
        <w:t xml:space="preserve">1995 - 11 RAr 51/95 - aaO), somit auch in der Verhinderung eines Rechtsan-</w:t>
      </w:r>
    </w:p>
    <w:p>
      <w:r>
        <w:t xml:space="preserve">walts wegen der Verpflichtung, zur Zeit des anberaumten Verhandlungstermins</w:t>
      </w:r>
    </w:p>
    <w:p>
      <w:r>
        <w:t xml:space="preserve">Unterricht für Rechtsreferendare im Rahmen der Juristenausbildung zu erteilen.</w:t>
      </w:r>
    </w:p>
    <w:p>
      <w:r>
        <w:t xml:space="preserve">Die Bitte um Berücksichtigung derartiger offenkundig und selbstverständlich als</w:t>
      </w:r>
    </w:p>
    <w:p>
      <w:r>
        <w:t xml:space="preserve">Verhinderungsgründe in Betracht kommender Umstände bei der Terminierung</w:t>
      </w:r>
    </w:p>
    <w:p>
      <w:r>
        <w:t xml:space="preserve">und bei Entscheidungen über Terminsverlegungsanträge ist nicht geeignet, den</w:t>
      </w:r>
    </w:p>
    <w:p>
      <w:r>
        <w:t xml:space="preserve">Antragsteller in seiner richterlichen Unabhängigkeit zu beeinträchtigen.</w:t>
      </w:r>
    </w:p>
    <w:p>
      <w:r>
        <w:rPr>
          <w:b/>
        </w:rPr>
        <w:t xml:space="preserve">Rn. 32</w:t>
      </w:r>
    </w:p>
    <w:p>
      <w:r>
        <w:t xml:space="preserve">Eine andere Beurteilung erfordert jedoch die Äußerung des Präsidenten</w:t>
      </w:r>
    </w:p>
    <w:p>
      <w:r>
        <w:t xml:space="preserve">des , bei derartigen Fällen bestehe nach seiner Auffas-</w:t>
      </w:r>
    </w:p>
    <w:p>
      <w:r>
        <w:t xml:space="preserve">sung immer ein Verhinderungs- und damit ein Verlegungs- oder Vertagungs-</w:t>
      </w:r>
    </w:p>
    <w:p>
      <w:r>
        <w:t xml:space="preserve">grund. Diese Meinungsäußerung kann so verstanden werden, dass den Adres-</w:t>
      </w:r>
    </w:p>
    <w:p>
      <w:r>
        <w:t xml:space="preserve">saten des Schreibens nahe gelegt werden soll, ihre Terminierungspraxis hieran</w:t>
      </w:r>
    </w:p>
    <w:p>
      <w:r>
        <w:t xml:space="preserve">auszurichten und jedem auf die Unterrichtsverpflichtung gestützten Terminsver-</w:t>
      </w:r>
    </w:p>
    <w:p>
      <w:r>
        <w:t xml:space="preserve">legungs- oder -vertagungsantrag eines Rechtsanwalts ohne weitere Prüfung</w:t>
      </w:r>
    </w:p>
    <w:p>
      <w:r>
        <w:t xml:space="preserve">sonstiger für oder gegen eine Terminsänderung sprechender Gesichtspunkte</w:t>
      </w:r>
    </w:p>
    <w:p>
      <w:r>
        <w:t xml:space="preserve">stattzugeben. Die Meinungsäußerung läuft daher auf einen Versuch einer Be-</w:t>
      </w:r>
    </w:p>
    <w:p>
      <w:r>
        <w:t xml:space="preserve">einflussung hinaus, wie bei bestimmten Anträgen auf Terminsänderung zu ent-</w:t>
      </w:r>
    </w:p>
    <w:p>
      <w:r>
        <w:t xml:space="preserve">scheiden ist. Eine derartige Einflussnahme seitens des Dienstvorgesetzten ist</w:t>
      </w:r>
    </w:p>
    <w:p>
      <w:r>
        <w:t xml:space="preserve">als Eingriff in die richterliche Unabhängigkeit unzulässig.</w:t>
      </w:r>
    </w:p>
    <w:p>
      <w:r>
        <w:t xml:space="preserve">III.</w:t>
      </w:r>
    </w:p>
    <w:p>
      <w:r>
        <w:rPr>
          <w:b/>
        </w:rPr>
        <w:t xml:space="preserve">Rn. 34</w:t>
      </w:r>
    </w:p>
    <w:p>
      <w:r>
        <w:t xml:space="preserve">Das Urteil des Dienstgerichts war daher teilweise abzuändern.</w:t>
      </w:r>
    </w:p>
    <w:p>
      <w:r>
        <w:t xml:space="preserve">Die Kostenentscheidung beruht auf § 80 Abs. 1 Satz 1 DRiG iVm §§ 154,</w:t>
      </w:r>
    </w:p>
    <w:p>
      <w:r>
        <w:t xml:space="preserve">155 VwGO.</w:t>
      </w:r>
    </w:p>
    <w:p>
      <w:r>
        <w:rPr>
          <w:b/>
        </w:rPr>
        <w:t xml:space="preserve">Rn. 35</w:t>
      </w:r>
    </w:p>
    <w:p>
      <w:r>
        <w:t xml:space="preserve">Der Wert des Streitgegenstandes wird für das Revisionsverfahren auf</w:t>
      </w:r>
    </w:p>
    <w:p>
      <w:r>
        <w:t xml:space="preserve">5.000,00 Euro festgesetzt (§ 47 Abs. 1 Satz 1, § 52 Abs. 2 GKG).</w:t>
      </w:r>
    </w:p>
    <w:p>
      <w:r>
        <w:t xml:space="preserve">Rissing-van Saan</w:t>
      </w:r>
    </w:p>
    <w:p>
      <w:r>
        <w:t xml:space="preserve">Joeres</w:t>
      </w:r>
    </w:p>
    <w:p>
      <w:r>
        <w:t xml:space="preserve">Fischer</w:t>
      </w:r>
    </w:p>
    <w:p>
      <w:r>
        <w:t xml:space="preserve">Schmitz-Scholemann</w:t>
      </w:r>
    </w:p>
    <w:p>
      <w:r>
        <w:t xml:space="preserve">Gräfl</w:t>
      </w:r>
    </w:p>
    <w:p>
      <w:r>
        <w:t xml:space="preserve">Vorinstanz:</w:t>
      </w:r>
    </w:p>
    <w:p>
      <w:r>
        <w:t xml:space="preserve">LG Leipzig, Entscheidung vom 25.04.2007 - 66 DG 3/06 -</w:t>
      </w:r>
    </w:p>
    <w:p>
      <w:r>
        <w:rPr>
          <w:color w:val="555555"/>
          <w:sz w:val="17"/>
        </w:rPr>
        <w:t xml:space="preserve">Zitiervorschlag: BGH, Urteil vom 15.11.2007 – RiZ (R) 4/07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https://recht.nulegal.eu/rechtsprechung/bgh/2007-11-15/riz-r-4-07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