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12.07.2007 – IX ZA 2/04</w:t>
      </w:r>
    </w:p>
    <w:p>
      <w:r>
        <w:rPr>
          <w:color w:val="555555"/>
          <w:sz w:val="18"/>
        </w:rPr>
        <w:t xml:space="preserve">IX. Zivilsenat</w:t>
      </w:r>
    </w:p>
    <w:p>
      <w:r>
        <w:t xml:space="preserve">BUNDESGERICHTSHOF</w:t>
      </w:r>
    </w:p>
    <w:p>
      <w:r>
        <w:t xml:space="preserve">IX ZA 2/04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12. Juli 2007</w:t>
      </w:r>
    </w:p>
    <w:p>
      <w:r>
        <w:t xml:space="preserve">in dem Rechtsstreit</w:t>
      </w:r>
    </w:p>
    <w:p>
      <w:r>
        <w:t xml:space="preserve">Der IX. Zivilsenat des Bundesgerichtshofs hat durch den Vorsitzenden Richter</w:t>
      </w:r>
    </w:p>
    <w:p>
      <w:r>
        <w:t xml:space="preserve">Dr. Gero Fischer und die Richter Dr. Ganter, Raebel, Dr. Kayser und Dr. Detlev</w:t>
      </w:r>
    </w:p>
    <w:p>
      <w:r>
        <w:t xml:space="preserve">Fischer</w:t>
      </w:r>
    </w:p>
    <w:p>
      <w:r>
        <w:t xml:space="preserve">am 12. Juli 2007</w:t>
      </w:r>
    </w:p>
    <w:p>
      <w:r>
        <w:t xml:space="preserve">beschlossen:</w:t>
      </w:r>
    </w:p>
    <w:p>
      <w:r>
        <w:t xml:space="preserve">Dem Antragsteller wird Prozesskostenhilfe für die Durchführung</w:t>
      </w:r>
    </w:p>
    <w:p>
      <w:r>
        <w:t xml:space="preserve">der Revision gegen das Urteil des 19. Zivilsenats des Oberlan-</w:t>
      </w:r>
    </w:p>
    <w:p>
      <w:r>
        <w:t xml:space="preserve">desgerichts Frankfurt am Main vom 28. Januar 2004 insoweit be-</w:t>
      </w:r>
    </w:p>
    <w:p>
      <w:r>
        <w:t xml:space="preserve">willigt und ihm Rechtsanwalt Dr. v. Mettenheim beigeordnet, als</w:t>
      </w:r>
    </w:p>
    <w:p>
      <w:r>
        <w:t xml:space="preserve">das Berufungsgericht die Klage gegen den Beklagten zu 1 insge-</w:t>
      </w:r>
    </w:p>
    <w:p>
      <w:r>
        <w:t xml:space="preserve">samt und die gegen den Beklagten zu 2 gerichtete Klage in Höhe</w:t>
      </w:r>
    </w:p>
    <w:p>
      <w:r>
        <w:t xml:space="preserve">von 25.365,25 DM abgewiesen hat.</w:t>
      </w:r>
    </w:p>
    <w:p>
      <w:r>
        <w:t xml:space="preserve">Der Kläger hat auf die Prozesskosten monatlich 45 € an die Bun-</w:t>
      </w:r>
    </w:p>
    <w:p>
      <w:r>
        <w:t xml:space="preserve">deskasse zu zahlen.</w:t>
      </w:r>
    </w:p>
    <w:p>
      <w:r>
        <w:t xml:space="preserve">Im Übrigen wird das Gesuch um Prozesskostenhilfe zurückgewie-</w:t>
      </w:r>
    </w:p>
    <w:p>
      <w:r>
        <w:t xml:space="preserve">sen.</w:t>
      </w:r>
    </w:p>
    <w:p>
      <w:pPr>
        <w:pStyle w:val="Heading2"/>
      </w:pPr>
      <w:r>
        <w:t xml:space="preserve">Gründe</w:t>
      </w:r>
    </w:p>
    <w:p>
      <w:r>
        <w:rPr>
          <w:b/>
        </w:rPr>
        <w:t xml:space="preserve">Rn. 1</w:t>
      </w:r>
    </w:p>
    <w:p>
      <w:r>
        <w:t xml:space="preserve">Der auf Gewährung von Prozesskostenhilfe gerichtete Antrag hinsichtlich</w:t>
      </w:r>
    </w:p>
    <w:p>
      <w:r>
        <w:t xml:space="preserve">der gegenüber dem Beklagten zu 2 verfolgten Klage ist nur bezüglich der gel-</w:t>
      </w:r>
    </w:p>
    <w:p>
      <w:r>
        <w:t xml:space="preserve">tend gemachten Gerichts- und Anwaltskosten von insgesamt 25.365,25 DM</w:t>
      </w:r>
    </w:p>
    <w:p>
      <w:r>
        <w:t xml:space="preserve">nebst Zinsen begründet. Der weitergehende Antrag ist zurückzuweisen, weil</w:t>
      </w:r>
    </w:p>
    <w:p>
      <w:r>
        <w:t xml:space="preserve">insoweit das beabsichtigte Rechtsmittel keine Aussicht auf Erfolg hat (§ 114</w:t>
      </w:r>
    </w:p>
    <w:p>
      <w:r>
        <w:t xml:space="preserve">ZPO). Die darüber hinausgehende Klage bezieht sich auf Pflichtverstöße, die</w:t>
      </w:r>
    </w:p>
    <w:p>
      <w:r>
        <w:t xml:space="preserve">sich vor dem 1. Januar 1995, dem Eintritt des Beklagten zu 2 in die Sozietät,</w:t>
      </w:r>
    </w:p>
    <w:p>
      <w:r>
        <w:t xml:space="preserve">zugetragen haben. Hierfür haftet der Beklagte zu 2, wie das Berufungsgericht</w:t>
      </w:r>
    </w:p>
    <w:p>
      <w:r>
        <w:t xml:space="preserve">zutreffend ausgeführt hat, nicht. Die bisherige Rechtsprechung ist jedenfalls für</w:t>
      </w:r>
    </w:p>
    <w:p>
      <w:r>
        <w:t xml:space="preserve">Fallgestaltungen, die sich vor der Entscheidung des II. Zivilsenats vom</w:t>
      </w:r>
    </w:p>
    <w:p>
      <w:r>
        <w:t xml:space="preserve">29. Januar 2001 (BGHZ 146, 341) zugetragen haben, weiterhin maßgeblich</w:t>
      </w:r>
    </w:p>
    <w:p>
      <w:r>
        <w:t xml:space="preserve">(vgl. BGHZ 154, 370, 377 f).</w:t>
      </w:r>
    </w:p>
    <w:p>
      <w:r>
        <w:t xml:space="preserve">Dr. Gero Fischer Dr. Ganter Raebel</w:t>
      </w:r>
    </w:p>
    <w:p>
      <w:r>
        <w:t xml:space="preserve">Dr. Kayser Dr. Detlev Fischer</w:t>
      </w:r>
    </w:p>
    <w:p>
      <w:r>
        <w:t xml:space="preserve">Vorinstanzen:</w:t>
      </w:r>
    </w:p>
    <w:p>
      <w:r>
        <w:t xml:space="preserve">LG Frankfurt, Entscheidung vom 13.02.2003 - 2/12 O 417/98 -</w:t>
      </w:r>
    </w:p>
    <w:p>
      <w:r>
        <w:t xml:space="preserve">OLG Frankfurt, Entscheidung vom 28.01.2004 - 19 U 73/03 -</w:t>
      </w:r>
    </w:p>
    <w:p>
      <w:r>
        <w:rPr>
          <w:color w:val="555555"/>
          <w:sz w:val="17"/>
        </w:rPr>
        <w:t xml:space="preserve">Zitiervorschlag: BGH, Beschluss vom 12.07.2007 – IX ZA 2/04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https://recht.nulegal.eu/rechtsprechung/bgh/2007-07-12/ix-za-2-04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