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02.07.2007 – AnwZ (B) 30/06</w:t>
      </w:r>
    </w:p>
    <w:p>
      <w:r>
        <w:rPr>
          <w:color w:val="555555"/>
          <w:sz w:val="18"/>
        </w:rPr>
        <w:t xml:space="preserve">Senat fuer Anwaltssachen</w:t>
      </w:r>
    </w:p>
    <w:p>
      <w:r>
        <w:t xml:space="preserve">BUNDESGERICHTSHOF</w:t>
      </w:r>
    </w:p>
    <w:p>
      <w:r>
        <w:t xml:space="preserve">AnwZ(B) 30/06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2. Juli 2007</w:t>
      </w:r>
    </w:p>
    <w:p>
      <w:r>
        <w:t xml:space="preserve">in dem Verfahren</w:t>
      </w:r>
    </w:p>
    <w:p>
      <w:r>
        <w:t xml:space="preserve">wegen Widerrufs der Zulassung zur Rechtsanwaltschaft</w:t>
      </w:r>
    </w:p>
    <w:p>
      <w:r>
        <w:t xml:space="preserve">Der Bundesgerichtshof, Senat für Anwaltssachen, hat durch den Präsidenten</w:t>
      </w:r>
    </w:p>
    <w:p>
      <w:r>
        <w:t xml:space="preserve">des Bundesgerichtshofs Prof. Dr. Hirsch, die Richterin Dr. Otten, die Richter</w:t>
      </w:r>
    </w:p>
    <w:p>
      <w:r>
        <w:t xml:space="preserve">Dr. Frellesen und Schaal sowie die Rechtsanwälte Dr. Wosgien, Dr. Frey und</w:t>
      </w:r>
    </w:p>
    <w:p>
      <w:r>
        <w:t xml:space="preserve">Prof. Dr. Quaas nach mündlicher Verhandlung</w:t>
      </w:r>
    </w:p>
    <w:p>
      <w:r>
        <w:t xml:space="preserve">am 2. Juli 2007 beschlossen:</w:t>
      </w:r>
    </w:p>
    <w:p>
      <w:r>
        <w:t xml:space="preserve">Die sofortige Beschwerde des Antragstellers gegen den Beschluss</w:t>
      </w:r>
    </w:p>
    <w:p>
      <w:r>
        <w:t xml:space="preserve">des 1. Senats des Thüringer Anwaltsgerichtshofes vom 25. Januar</w:t>
      </w:r>
    </w:p>
    <w:p>
      <w:r>
        <w:t xml:space="preserve">2006 wird zurückgewiesen.</w:t>
      </w:r>
    </w:p>
    <w:p>
      <w:r>
        <w:t xml:space="preserve">Der Antragsteller hat die Kosten des Rechtsmittels zu tragen und</w:t>
      </w:r>
    </w:p>
    <w:p>
      <w:r>
        <w:t xml:space="preserve">der Antragsgegnerin die ihr im Beschwerdeverfahren entstande-</w:t>
      </w:r>
    </w:p>
    <w:p>
      <w:r>
        <w:t xml:space="preserve">nen notwendigen außergerichtlichen Auslagen zu erstatten.</w:t>
      </w:r>
    </w:p>
    <w:p>
      <w:r>
        <w:t xml:space="preserve">Der Geschäftswert</w:t>
      </w:r>
    </w:p>
    <w:p>
      <w:r>
        <w:t xml:space="preserve">für das Beschwerdeverfahren wird auf</w:t>
      </w:r>
    </w:p>
    <w:p>
      <w:r>
        <w:t xml:space="preserve">50.000 € festgesetzt.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1. Der Antragsteller ist seit 1996 beim Landgericht E. , seit 2001 auch</w:t>
      </w:r>
    </w:p>
    <w:p>
      <w:r>
        <w:t xml:space="preserve">beim T. Oberlandesgericht zur Rechtsanwaltschaft zugelassen. Mit Be-</w:t>
      </w:r>
    </w:p>
    <w:p>
      <w:r>
        <w:t xml:space="preserve">scheid vom 29. Juli 2005 hat die Antragsgegnerin die Zulassung des Antragstel-</w:t>
      </w:r>
    </w:p>
    <w:p>
      <w:r>
        <w:t xml:space="preserve">lers wegen Vermögensverfalls widerrufen. Den Antrag auf gerichtliche Ent-</w:t>
      </w:r>
    </w:p>
    <w:p>
      <w:r>
        <w:t xml:space="preserve">scheidung hat der Anwaltsgerichtshof zurückgewiesen. Gegen den Beschluss</w:t>
      </w:r>
    </w:p>
    <w:p>
      <w:r>
        <w:t xml:space="preserve">des Anwaltsgerichtshofs hat der Antragsteller sofortige Beschwerde eingelegt.</w:t>
      </w:r>
    </w:p>
    <w:p>
      <w:r>
        <w:rPr>
          <w:b/>
        </w:rPr>
        <w:t xml:space="preserve">Rn. 2</w:t>
      </w:r>
    </w:p>
    <w:p>
      <w:r>
        <w:t xml:space="preserve">2. Das Rechtsmittel ist zulässig (§ 42 Abs. 1 Nr. 3, Abs. 4 BRAO), bleibt</w:t>
      </w:r>
    </w:p>
    <w:p>
      <w:r>
        <w:t xml:space="preserve">jedoch in der Sache ohne Erfolg.</w:t>
      </w:r>
    </w:p>
    <w:p>
      <w:r>
        <w:rPr>
          <w:b/>
        </w:rPr>
        <w:t xml:space="preserve">Rn. 3</w:t>
      </w:r>
    </w:p>
    <w:p>
      <w:r>
        <w:t xml:space="preserve">a) Nach § 14 Abs. 2 Nr. 7 BRAO ist die Zulassung zur Rechtsanwalt-</w:t>
      </w:r>
    </w:p>
    <w:p>
      <w:r>
        <w:rPr>
          <w:b/>
        </w:rPr>
        <w:t xml:space="preserve">Rn. 5</w:t>
      </w:r>
    </w:p>
    <w:p>
      <w:r>
        <w:t xml:space="preserve">schaft zu widerrufen, wenn der Rechtsanwalt in Vermögensverfall geraten ist,</w:t>
      </w:r>
    </w:p>
    <w:p>
      <w:r>
        <w:t xml:space="preserve">es sei denn, dass dadurch die Interessen der Rechtsuchenden nicht gefährdet</w:t>
      </w:r>
    </w:p>
    <w:p>
      <w:r>
        <w:t xml:space="preserve">sind. Zutreffend hat der Anwaltsgerichtshof die Voraussetzungen eines Vermö-</w:t>
      </w:r>
    </w:p>
    <w:p>
      <w:r>
        <w:t xml:space="preserve">gensverfalls zum maßgeblichen Zeitpunkt des Widerrufsbescheids als belegt</w:t>
      </w:r>
    </w:p>
    <w:p>
      <w:r>
        <w:t xml:space="preserve">angesehen. Der Antragsteller hatte nach Eintragung mehrerer Haftbefehle am</w:t>
      </w:r>
    </w:p>
    <w:p>
      <w:r>
        <w:t xml:space="preserve">17. August 2004 die eidesstattliche Versicherung abgegeben und war daher</w:t>
      </w:r>
    </w:p>
    <w:p>
      <w:r>
        <w:t xml:space="preserve">beim Amtsgericht A. im Schuldnerverzeichnis (§ 915 ZPO) eingetragen.</w:t>
      </w:r>
    </w:p>
    <w:p>
      <w:r>
        <w:t xml:space="preserve">Damit wurde der Vermögensverfall nach § 14 Abs. 2 Nr. 7 (2. Halbs.) BRAO</w:t>
      </w:r>
    </w:p>
    <w:p>
      <w:r>
        <w:t xml:space="preserve">gesetzlich vermutet.</w:t>
      </w:r>
    </w:p>
    <w:p>
      <w:r>
        <w:t xml:space="preserve">b) Ausweislich der Auskunft aus dem Schuldnerverzeichnis des Amtsge-</w:t>
      </w:r>
    </w:p>
    <w:p>
      <w:r>
        <w:t xml:space="preserve">richts A. vom 24. Januar 2007 ist eine Löschung der Eintragung nicht er-</w:t>
      </w:r>
    </w:p>
    <w:p>
      <w:r>
        <w:t xml:space="preserve">folgt. Die Vermutungswirkung besteht mithin fort.</w:t>
      </w:r>
    </w:p>
    <w:p>
      <w:r>
        <w:t xml:space="preserve">Auch sonst hat der Antragsteller nicht hinreichend dargetan, dass sich</w:t>
      </w:r>
    </w:p>
    <w:p>
      <w:r>
        <w:t xml:space="preserve">seine Vermögensverhältnisse nunmehr konsolidiert hätten, so dass von einem</w:t>
      </w:r>
    </w:p>
    <w:p>
      <w:r>
        <w:t xml:space="preserve">Widerruf abgesehen werden könnte (vgl. BGHZ 75, 356; 84, 149). Das Erfor-</w:t>
      </w:r>
    </w:p>
    <w:p>
      <w:r>
        <w:t xml:space="preserve">dernis der hierfür unerlässlichen umfassenden Darstellung seiner Vermögens-</w:t>
      </w:r>
    </w:p>
    <w:p>
      <w:r>
        <w:t xml:space="preserve">verhältnisse (vgl. Feuerich/Weyland, BRAO 6. Aufl. § 14 Rdn. 59 m.w.N.) hat er</w:t>
      </w:r>
    </w:p>
    <w:p>
      <w:r>
        <w:t xml:space="preserve">nur teilweise, jedenfalls nicht vollständig erfüllt. Zwar hat er hinsichtlich der der</w:t>
      </w:r>
    </w:p>
    <w:p>
      <w:r>
        <w:t xml:space="preserve">eidesstattlichen Versicherung zugrunde liegenden Forderung Bareinzahlung</w:t>
      </w:r>
    </w:p>
    <w:p>
      <w:r>
        <w:t xml:space="preserve">sowie hinsichtlich der drei weiteren im Schuldnerverzeichnis vermerkten Forde-</w:t>
      </w:r>
    </w:p>
    <w:p>
      <w:r>
        <w:t xml:space="preserve">rungen der C. AG über 547 €, der E. AG über noch</w:t>
      </w:r>
    </w:p>
    <w:p>
      <w:r>
        <w:t xml:space="preserve">988 € und der K. GmbH über 715 € Ratenzahlungsver-</w:t>
      </w:r>
    </w:p>
    <w:p>
      <w:r>
        <w:t xml:space="preserve">einbarungen belegt bzw. Zahlung angekündigt. Insbesondere fehlt es jedoch an</w:t>
      </w:r>
    </w:p>
    <w:p>
      <w:r>
        <w:t xml:space="preserve">belegten Angaben über den Sachstand hinsichtlich einer Forderung des An-</w:t>
      </w:r>
    </w:p>
    <w:p>
      <w:r>
        <w:t xml:space="preserve">walts- und Versorgungswerks in Höhe von über 15.800 € sowie weiterer in der</w:t>
      </w:r>
    </w:p>
    <w:p>
      <w:r>
        <w:t xml:space="preserve">Saldenauflistung für den Zeitraum bis zum 8. Mai 2006 des Obergerichtsvoll-</w:t>
      </w:r>
    </w:p>
    <w:p>
      <w:r>
        <w:t xml:space="preserve">ziehers K. aufgeführter Verbindlichkeiten. Er hat in der mündlichen Ver-</w:t>
      </w:r>
    </w:p>
    <w:p>
      <w:r>
        <w:t xml:space="preserve">handlung eingeräumt, dass seine Verbindlichkeiten insgesamt noch etwa</w:t>
      </w:r>
    </w:p>
    <w:p>
      <w:r>
        <w:t xml:space="preserve">50.000 € betragen.</w:t>
      </w:r>
    </w:p>
    <w:p>
      <w:r>
        <w:rPr>
          <w:b/>
        </w:rPr>
        <w:t xml:space="preserve">Rn. 6</w:t>
      </w:r>
    </w:p>
    <w:p>
      <w:r>
        <w:t xml:space="preserve">c) Schließlich ist für einen Ausnahmefall, in dem die Interessen der</w:t>
      </w:r>
    </w:p>
    <w:p>
      <w:r>
        <w:t xml:space="preserve">Rechtsuchenden ungeachtet des Vermögensverfalls nicht gefährdet wären,</w:t>
      </w:r>
    </w:p>
    <w:p>
      <w:r>
        <w:t xml:space="preserve">nichts ersichtlich. Gegen den Antragsteller ist durch rechtskräftigen Strafbefehl</w:t>
      </w:r>
    </w:p>
    <w:p>
      <w:r>
        <w:t xml:space="preserve">des Amtsgerichts A. vom 2. März 2005 wegen Veruntreuung von Man-</w:t>
      </w:r>
    </w:p>
    <w:p>
      <w:r>
        <w:t xml:space="preserve">dantengeldern eine Freiheitsstrafe von zehn Monaten mit Bewährung verhängt</w:t>
      </w:r>
    </w:p>
    <w:p>
      <w:r>
        <w:t xml:space="preserve">worden.</w:t>
      </w:r>
    </w:p>
    <w:p>
      <w:r>
        <w:t xml:space="preserve">Hirsch</w:t>
      </w:r>
    </w:p>
    <w:p>
      <w:r>
        <w:t xml:space="preserve">Otten</w:t>
      </w:r>
    </w:p>
    <w:p>
      <w:r>
        <w:t xml:space="preserve">Frellesen</w:t>
      </w:r>
    </w:p>
    <w:p>
      <w:r>
        <w:t xml:space="preserve">Schaal</w:t>
      </w:r>
    </w:p>
    <w:p>
      <w:r>
        <w:t xml:space="preserve">Wosgien</w:t>
      </w:r>
    </w:p>
    <w:p>
      <w:r>
        <w:t xml:space="preserve">Frey</w:t>
      </w:r>
    </w:p>
    <w:p>
      <w:r>
        <w:t xml:space="preserve">Quaas</w:t>
      </w:r>
    </w:p>
    <w:p>
      <w:r>
        <w:t xml:space="preserve">Vorinstanz:</w:t>
      </w:r>
    </w:p>
    <w:p>
      <w:r>
        <w:t xml:space="preserve">AGH Jena, Entscheidung vom 25.01.2006 - AGH 5/05 -</w:t>
      </w:r>
    </w:p>
    <w:p>
      <w:r>
        <w:rPr>
          <w:color w:val="555555"/>
          <w:sz w:val="17"/>
        </w:rPr>
        <w:t xml:space="preserve">Zitiervorschlag: BGH, Beschluss vom 02.07.2007 – AnwZ (B) 30/06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https://recht.nulegal.eu/rechtsprechung/bgh/2007-07-02/anwz-b-30-06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