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BGH, Beschluss vom 21.06.2007 – 3 StR 180/07</w:t>
      </w:r>
    </w:p>
    <w:p>
      <w:r>
        <w:rPr>
          <w:color w:val="555555"/>
          <w:sz w:val="18"/>
        </w:rPr>
        <w:t xml:space="preserve">3. Strafsenat</w:t>
      </w:r>
    </w:p>
    <w:p>
      <w:r>
        <w:t xml:space="preserve">BUNDESGERICHTSHOF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21. Juni 2007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3 StR 180/07</w:t>
      </w:r>
    </w:p>
    <w:p>
      <w:r>
        <w:t xml:space="preserve">1.</w:t>
      </w:r>
    </w:p>
    <w:p>
      <w:r>
        <w:t xml:space="preserve">2.</w:t>
      </w:r>
    </w:p>
    <w:p>
      <w:r>
        <w:t xml:space="preserve">wegen zu 1.: Mordes u. a.</w:t>
      </w:r>
    </w:p>
    <w:p>
      <w:r>
        <w:t xml:space="preserve">zu 2.: gefährlicher Körperverletzung</w:t>
      </w:r>
    </w:p>
    <w:p>
      <w:r>
        <w:t xml:space="preserve">Der 3. Strafsenat des Bundesgerichtshofs hat nach Anhörung der Beschwerde-</w:t>
      </w:r>
    </w:p>
    <w:p>
      <w:r>
        <w:t xml:space="preserve">führer und des Generalbundesanwalts - zu 2. auf dessen Antrag - am 21. Juni</w:t>
      </w:r>
    </w:p>
    <w:p>
      <w:r>
        <w:t xml:space="preserve">2007 gemäß § 349 Abs. 2 und 4 StPO einstimmig beschlossen:</w:t>
      </w:r>
    </w:p>
    <w:p>
      <w:r>
        <w:t xml:space="preserve">1. Auf die Revisionen der Angeklagten wird das Urteil des Landge-</w:t>
      </w:r>
    </w:p>
    <w:p>
      <w:r>
        <w:t xml:space="preserve">richts Osnabrück vom 8. November 2006</w:t>
      </w:r>
    </w:p>
    <w:p>
      <w:r>
        <w:t xml:space="preserve">a) bezüglich des Angeklagten O.</w:t>
      </w:r>
    </w:p>
    <w:p>
      <w:r>
        <w:t xml:space="preserve">im Schuldspruch dahin geändert, dass der Angeklagte we-</w:t>
      </w:r>
    </w:p>
    <w:p>
      <w:r>
        <w:t xml:space="preserve">gen Totschlags und wegen gefährlicher Körperverletzung</w:t>
      </w:r>
    </w:p>
    <w:p>
      <w:r>
        <w:t xml:space="preserve">verurteilt ist, sowie im Rechtsfolgenausspruch mit den zuge-</w:t>
      </w:r>
    </w:p>
    <w:p>
      <w:r>
        <w:t xml:space="preserve">hörigen Feststellungen aufgehoben;</w:t>
      </w:r>
    </w:p>
    <w:p>
      <w:r>
        <w:t xml:space="preserve">b) bezüglich des Angeklagten M.</w:t>
      </w:r>
    </w:p>
    <w:p>
      <w:r>
        <w:t xml:space="preserve">aufgehoben, jedoch bleiben die Feststellungen - mit Aus-</w:t>
      </w:r>
    </w:p>
    <w:p>
      <w:r>
        <w:t xml:space="preserve">nahme der Feststellung zur fehlenden Vorhersehbarkeit des</w:t>
      </w:r>
    </w:p>
    <w:p>
      <w:r>
        <w:t xml:space="preserve">Todes des Opfers - aufrechterhalten.</w:t>
      </w:r>
    </w:p>
    <w:p>
      <w:r>
        <w:t xml:space="preserve">Im Umfang der Aufhebung wird die Sache zu neuer Verhand-</w:t>
      </w:r>
    </w:p>
    <w:p>
      <w:r>
        <w:t xml:space="preserve">lung und Entscheidung, auch über die Kosten des Rechtsmittels</w:t>
      </w:r>
    </w:p>
    <w:p>
      <w:r>
        <w:t xml:space="preserve">und die den Nebenklägern im Revisionsverfahren entstandenen</w:t>
      </w:r>
    </w:p>
    <w:p>
      <w:r>
        <w:t xml:space="preserve">notwendigen Auslagen, an eine andere Strafkammer des Land-</w:t>
      </w:r>
    </w:p>
    <w:p>
      <w:r>
        <w:t xml:space="preserve">gerichts zurückverwiesen.</w:t>
      </w:r>
    </w:p>
    <w:p>
      <w:r>
        <w:t xml:space="preserve">2. Die weitergehenden Revisionen werden verworfen.</w:t>
      </w:r>
    </w:p>
    <w:p>
      <w:pPr>
        <w:pStyle w:val="Heading2"/>
      </w:pPr>
      <w:r>
        <w:t xml:space="preserve">Gründe</w:t>
      </w:r>
    </w:p>
    <w:p>
      <w:r>
        <w:rPr>
          <w:b/>
        </w:rPr>
        <w:t xml:space="preserve">Rn. 1</w:t>
      </w:r>
    </w:p>
    <w:p>
      <w:r>
        <w:t xml:space="preserve">Das Landgericht hat den Angeklagten O. wegen Mordes und we-</w:t>
      </w:r>
    </w:p>
    <w:p>
      <w:r>
        <w:t xml:space="preserve">gen gefährlicher Körperverletzung zu lebenslanger Freiheitsstrafe als Gesamt-</w:t>
      </w:r>
    </w:p>
    <w:p>
      <w:r>
        <w:t xml:space="preserve">strafe verurteilt und die Unterbringung in einem psychiatrischen Krankenhaus</w:t>
      </w:r>
    </w:p>
    <w:p>
      <w:r>
        <w:t xml:space="preserve">angeordnet. Gegen den Angeklagten M. hat es wegen gefährlicher</w:t>
      </w:r>
    </w:p>
    <w:p>
      <w:r>
        <w:t xml:space="preserve">Körperverletzung eine Freiheitsstrafe von drei Jahren verhängt. Die Revisionen</w:t>
      </w:r>
    </w:p>
    <w:p>
      <w:r>
        <w:t xml:space="preserve">der Angeklagten haben den aus der Entscheidungsformel ersichtlichen Teiler-</w:t>
      </w:r>
    </w:p>
    <w:p>
      <w:r>
        <w:t xml:space="preserve">folg. Im Übrigen sind sie unbegründet.</w:t>
      </w:r>
    </w:p>
    <w:p>
      <w:r>
        <w:rPr>
          <w:b/>
        </w:rPr>
        <w:t xml:space="preserve">Rn. 2</w:t>
      </w:r>
    </w:p>
    <w:p>
      <w:r>
        <w:t xml:space="preserve">Nach den Feststellungen des Landgerichts wohnten die beiden Ange-</w:t>
      </w:r>
    </w:p>
    <w:p>
      <w:r>
        <w:t xml:space="preserve">klagten sowie der später getötete N. im selben Anwesen. Am</w:t>
      </w:r>
    </w:p>
    <w:p>
      <w:r>
        <w:t xml:space="preserve">Tattag gerieten die Männer in alkoholisiertem Zustand untereinander in Streit.</w:t>
      </w:r>
    </w:p>
    <w:p>
      <w:r>
        <w:t xml:space="preserve">Deshalb schlug zuerst der Angeklagte O. dem Angeklagten M. mit</w:t>
      </w:r>
    </w:p>
    <w:p>
      <w:r>
        <w:t xml:space="preserve">einer Pistole mehrfach heftig auf den Kopf, so dass dieser eine Schädelprellung</w:t>
      </w:r>
    </w:p>
    <w:p>
      <w:r>
        <w:t xml:space="preserve">und eine Orbitabodenfraktur erlitt. Im Anschluss daran unterhielten sich die bei-</w:t>
      </w:r>
    </w:p>
    <w:p>
      <w:r>
        <w:t xml:space="preserve">den Angeklagten über N. . Der Angeklagte M. erzählte</w:t>
      </w:r>
    </w:p>
    <w:p>
      <w:r>
        <w:t xml:space="preserve">wahrheitswidrig, es sei N. gewesen, der Stunden zuvor die Polizei in</w:t>
      </w:r>
    </w:p>
    <w:p>
      <w:r>
        <w:t xml:space="preserve">das Haus gerufen hatte. Der Angeklagte O. erzählte, dass N.</w:t>
      </w:r>
    </w:p>
    <w:p>
      <w:r>
        <w:t xml:space="preserve">entgegen seinen Beteuerungen noch nichts unternommen habe, um seine</w:t>
      </w:r>
    </w:p>
    <w:p>
      <w:r>
        <w:t xml:space="preserve">Schulden beim Angeklagten M. zu begleichen. Auf diese Weise gerieten</w:t>
      </w:r>
    </w:p>
    <w:p>
      <w:r>
        <w:t xml:space="preserve">beide Angeklagten über N. in Wut. Zuerst schlug einer von ihnen - wel-</w:t>
      </w:r>
    </w:p>
    <w:p>
      <w:r>
        <w:t xml:space="preserve">cher Angeklagte es war, hat die Kammer nicht klären können - auf N.</w:t>
      </w:r>
    </w:p>
    <w:p>
      <w:r>
        <w:t xml:space="preserve">ein, der dadurch eine Kopfplatzwunde erlitt. Nach einiger Zeit schlugen beide</w:t>
      </w:r>
    </w:p>
    <w:p>
      <w:r>
        <w:t xml:space="preserve">Angeklagte in wechselseitigem Einverständnis mit den Handlungen des jeweils</w:t>
      </w:r>
    </w:p>
    <w:p>
      <w:r>
        <w:t xml:space="preserve">anderen auf N. ein. Als dieser deswegen zu Boden stürzte, trat der An-</w:t>
      </w:r>
    </w:p>
    <w:p>
      <w:r>
        <w:t xml:space="preserve">geklagte O. mit seinen Springerstiefeln auf ihn ein und versetzte ihm</w:t>
      </w:r>
    </w:p>
    <w:p>
      <w:r>
        <w:rPr>
          <w:b/>
        </w:rPr>
        <w:t xml:space="preserve">Rn. 4</w:t>
      </w:r>
    </w:p>
    <w:p>
      <w:r>
        <w:t xml:space="preserve">zehn wuchtige Tritte gegen Kopf und Rippen. Auch der Angeklagte M.</w:t>
      </w:r>
    </w:p>
    <w:p>
      <w:r>
        <w:t xml:space="preserve">trat N. mindestens einmal gegen den Brustkorb. Dieser verstarb an den</w:t>
      </w:r>
    </w:p>
    <w:p>
      <w:r>
        <w:t xml:space="preserve">dadurch hervorgerufenen Verletzungen. Bei den Tritten gegen Kopf und Körper</w:t>
      </w:r>
    </w:p>
    <w:p>
      <w:r>
        <w:t xml:space="preserve">des Opfers erkannte der Angeklagte O. , dass dieses dadurch zu Tode</w:t>
      </w:r>
    </w:p>
    <w:p>
      <w:r>
        <w:t xml:space="preserve">kommen konnte, und nahm eine solche Entwicklung auch billigend in Kauf.</w:t>
      </w:r>
    </w:p>
    <w:p>
      <w:r>
        <w:t xml:space="preserve">Beim Angeklagten M. hat das Landgericht hingegen nicht feststellen</w:t>
      </w:r>
    </w:p>
    <w:p>
      <w:r>
        <w:t xml:space="preserve">können, dass der Tod des N. für ihn vorhersehbar war, obwohl er um</w:t>
      </w:r>
    </w:p>
    <w:p>
      <w:r>
        <w:t xml:space="preserve">die "Gefährlichkeit" der Tritte wusste.</w:t>
      </w:r>
    </w:p>
    <w:p>
      <w:r>
        <w:t xml:space="preserve">1. Die Verurteilung des Angeklagten O. wegen (grausam sowie</w:t>
      </w:r>
    </w:p>
    <w:p>
      <w:r>
        <w:t xml:space="preserve">aus niedrigen Beweggründen begangenen) Mordes hält rechtlicher Überprüfung</w:t>
      </w:r>
    </w:p>
    <w:p>
      <w:r>
        <w:t xml:space="preserve">nicht Stand.</w:t>
      </w:r>
    </w:p>
    <w:p>
      <w:r>
        <w:t xml:space="preserve">a) Grausam tötet, wer seinem Opfer in gefühlloser, unbarmherziger Ge-</w:t>
      </w:r>
    </w:p>
    <w:p>
      <w:r>
        <w:t xml:space="preserve">sinnung Schmerzen oder Qualen körperlicher oder seelischer Art zufügt, die</w:t>
      </w:r>
    </w:p>
    <w:p>
      <w:r>
        <w:t xml:space="preserve">nach Stärke oder Dauer über das für die Tötung erforderliche Maß hinausge-</w:t>
      </w:r>
    </w:p>
    <w:p>
      <w:r>
        <w:t xml:space="preserve">hen. Die besonderen Leiden müssen sich aus der Tatausführung ergeben. Das</w:t>
      </w:r>
    </w:p>
    <w:p>
      <w:r>
        <w:t xml:space="preserve">Landgericht hat indes bei der Beurteilung der Tat als grausam auch Umstände</w:t>
      </w:r>
    </w:p>
    <w:p>
      <w:r>
        <w:t xml:space="preserve">berücksichtigt, die noch nicht bzw. nicht mehr im Zusammenhang mit Tötungs-</w:t>
      </w:r>
    </w:p>
    <w:p>
      <w:r>
        <w:t xml:space="preserve">handlungen standen. Die von einem der Angeklagten verursachte Kopfplatz-</w:t>
      </w:r>
    </w:p>
    <w:p>
      <w:r>
        <w:t xml:space="preserve">wunde war noch nicht vom Tötungsvorsatz umfasst. Die nach den Fußtritten am</w:t>
      </w:r>
    </w:p>
    <w:p>
      <w:r>
        <w:t xml:space="preserve">Opfer vorgenommenen Handlungen der Angeklagten waren zwar äußerst wi-</w:t>
      </w:r>
    </w:p>
    <w:p>
      <w:r>
        <w:t xml:space="preserve">derwärtig, führten aber nicht zu weiteren Verletzungen. Dass der Angeklagte</w:t>
      </w:r>
    </w:p>
    <w:p>
      <w:r>
        <w:t xml:space="preserve">O. dabei weiterhin den Tod des N. billigend in Kauf genommen</w:t>
      </w:r>
    </w:p>
    <w:p>
      <w:r>
        <w:t xml:space="preserve">hätte, ist nicht festgestellt und liegt auch nicht nahe. Die eigentlichen Tötungs-</w:t>
      </w:r>
    </w:p>
    <w:p>
      <w:r>
        <w:t xml:space="preserve">handlungen dauerten nur bis zum Eingreifen eines Tatzeugen und waren des-</w:t>
      </w:r>
    </w:p>
    <w:p>
      <w:r>
        <w:t xml:space="preserve">halb nahe liegend nur von kürzerer Dauer. Entgegen der Würdigung des Land-</w:t>
      </w:r>
    </w:p>
    <w:p>
      <w:r>
        <w:t xml:space="preserve">gerichts hat sich das zur Beurteilung der Grausamkeit relevante Tatgeschehen</w:t>
      </w:r>
    </w:p>
    <w:p>
      <w:r>
        <w:t xml:space="preserve">deshalb nicht über einen längeren Zeitraum hingezogen.</w:t>
      </w:r>
    </w:p>
    <w:p>
      <w:r>
        <w:rPr>
          <w:b/>
        </w:rPr>
        <w:t xml:space="preserve">Rn. 5</w:t>
      </w:r>
    </w:p>
    <w:p>
      <w:r>
        <w:t xml:space="preserve">b) Aus niedrigen Beweggründen tötet, wessen Motive zur Tötung nach</w:t>
      </w:r>
    </w:p>
    <w:p>
      <w:r>
        <w:t xml:space="preserve">allgemeiner sittlicher Anschauung verachtenswert sind und auf tiefster Stufe</w:t>
      </w:r>
    </w:p>
    <w:p>
      <w:r>
        <w:t xml:space="preserve">stehen. Das Landgericht hat darauf abgestellt, der Angeklagte habe die Tat aus</w:t>
      </w:r>
    </w:p>
    <w:p>
      <w:r>
        <w:t xml:space="preserve">Verärgerung über die Einschaltung der Polizei durch das Opfer begangen, dies</w:t>
      </w:r>
    </w:p>
    <w:p>
      <w:r>
        <w:t xml:space="preserve">stelle einen "absolut nichtigen und nicht nachvollziehbaren Anlass" für die Tat</w:t>
      </w:r>
    </w:p>
    <w:p>
      <w:r>
        <w:t xml:space="preserve">dar, mit der er "seine besondere Geringschätzung des Lebensrechts des N.</w:t>
      </w:r>
    </w:p>
    <w:p>
      <w:r>
        <w:t xml:space="preserve">zum Ausdruck gebracht" habe.</w:t>
      </w:r>
    </w:p>
    <w:p>
      <w:r>
        <w:rPr>
          <w:b/>
        </w:rPr>
        <w:t xml:space="preserve">Rn. 6</w:t>
      </w:r>
    </w:p>
    <w:p>
      <w:r>
        <w:t xml:space="preserve">Eine über die Benennung des Motivs hinausgehende Konkretisierung</w:t>
      </w:r>
    </w:p>
    <w:p>
      <w:r>
        <w:t xml:space="preserve">dieser von der Rechtsprechung entwickelten Umschreibung des Mordmerkmals</w:t>
      </w:r>
    </w:p>
    <w:p>
      <w:r>
        <w:t xml:space="preserve">nimmt das Landgericht nicht vor. Es fehlt die erforderliche Gesamtwürdigung,</w:t>
      </w:r>
    </w:p>
    <w:p>
      <w:r>
        <w:t xml:space="preserve">die alle für die Handlungsantriebe des Angeklagten maßgeblichen Faktoren, die</w:t>
      </w:r>
    </w:p>
    <w:p>
      <w:r>
        <w:t xml:space="preserve">Umstände der Tat, die Lebensverhältnisse des Angeklagten und seine Persön-</w:t>
      </w:r>
    </w:p>
    <w:p>
      <w:r>
        <w:t xml:space="preserve">lichkeit einschließt (vgl. Tröndle/Fischer, StGB 54. Aufl. § 211 Rdn. 9 ff.</w:t>
      </w:r>
    </w:p>
    <w:p>
      <w:r>
        <w:t xml:space="preserve">m. w. N.). Zudem fehlt es an Feststellungen zu den subjektiven Erfordernissen</w:t>
      </w:r>
    </w:p>
    <w:p>
      <w:r>
        <w:t xml:space="preserve">des Mordmerkmals. Hierzu gehört, dass der Täter die Umstände, welche die</w:t>
      </w:r>
    </w:p>
    <w:p>
      <w:r>
        <w:t xml:space="preserve">Niedrigkeit der Beweggründe ausmachen, ins Bewusstsein aufgenommen hat</w:t>
      </w:r>
    </w:p>
    <w:p>
      <w:r>
        <w:t xml:space="preserve">und dass er, soweit bei der Tat gefühlsmäßige oder triebhafte Regungen eine</w:t>
      </w:r>
    </w:p>
    <w:p>
      <w:r>
        <w:t xml:space="preserve">Rolle spielen, in der Lage war, sie gedanklich zu beherrschen und willensmäßig</w:t>
      </w:r>
    </w:p>
    <w:p>
      <w:r>
        <w:t xml:space="preserve">zu steuern (BGHR StGB § 211 Abs. 2 Niedrige Beweggründe 6 und 12 jeweils</w:t>
      </w:r>
    </w:p>
    <w:p>
      <w:r>
        <w:t xml:space="preserve">m. w. N.).</w:t>
      </w:r>
    </w:p>
    <w:p>
      <w:r>
        <w:rPr>
          <w:b/>
        </w:rPr>
        <w:t xml:space="preserve">Rn. 7</w:t>
      </w:r>
    </w:p>
    <w:p>
      <w:r>
        <w:t xml:space="preserve">Das Landgericht lässt somit unerörtert, dass der Angeklagte und das</w:t>
      </w:r>
    </w:p>
    <w:p>
      <w:r>
        <w:t xml:space="preserve">Tatopfer bislang ohne Konflikte im selben Haus gewohnt hatten, dass der An-</w:t>
      </w:r>
    </w:p>
    <w:p>
      <w:r>
        <w:t xml:space="preserve">geklagte aufgrund einer wahrheitswidrigen Beschuldigung aufgebracht war und</w:t>
      </w:r>
    </w:p>
    <w:p>
      <w:r>
        <w:t xml:space="preserve">sich spontan zu einer Gewalttat hat hinreisen lassen, deren Ziel nicht die Tö-</w:t>
      </w:r>
    </w:p>
    <w:p>
      <w:r>
        <w:t xml:space="preserve">tung des Opfers war, und dass der Angeklagte dabei infolge vorangegangenen</w:t>
      </w:r>
    </w:p>
    <w:p>
      <w:r>
        <w:t xml:space="preserve">Alkoholkonsums und einer Persönlichkeitsstörung in seiner Steuerungsfähigkeit</w:t>
      </w:r>
    </w:p>
    <w:p>
      <w:r>
        <w:t xml:space="preserve">erheblich vermindert war.</w:t>
      </w:r>
    </w:p>
    <w:p>
      <w:r>
        <w:rPr>
          <w:b/>
        </w:rPr>
        <w:t xml:space="preserve">Rn. 8</w:t>
      </w:r>
    </w:p>
    <w:p>
      <w:r>
        <w:t xml:space="preserve">c) Der Senat schließt aus, dass der neue Tatrichter unter den gegebenen</w:t>
      </w:r>
    </w:p>
    <w:p>
      <w:r>
        <w:t xml:space="preserve">Umständen Mordmerkmale rechtsfehlerfrei wird feststellen können, und ändert</w:t>
      </w:r>
    </w:p>
    <w:p>
      <w:r>
        <w:t xml:space="preserve">deshalb den Schuldspruch. Dies führt zur Aufhebung der lebenslangen (Ein-</w:t>
      </w:r>
    </w:p>
    <w:p>
      <w:r>
        <w:t xml:space="preserve">zel)Freiheitsstrafe, der Gesamtstrafe und des Maßregelausspruchs. Die Einzel-</w:t>
      </w:r>
    </w:p>
    <w:p>
      <w:r>
        <w:t xml:space="preserve">strafe von vier Jahren für die gefährliche Körperverletzung zum Nachteil des</w:t>
      </w:r>
    </w:p>
    <w:p>
      <w:r>
        <w:t xml:space="preserve">Angeklagten M. hat ebenfalls keinen Bestand. Zum einen ist nicht aus-</w:t>
      </w:r>
    </w:p>
    <w:p>
      <w:r>
        <w:t xml:space="preserve">zuschließen, dass sich die Strafe für die Tötung auf sie ausgewirkt hat, zum</w:t>
      </w:r>
    </w:p>
    <w:p>
      <w:r>
        <w:t xml:space="preserve">anderen könnten der Versagung einer Strafmilderung nach §§ 21, 49 Abs. 1</w:t>
      </w:r>
    </w:p>
    <w:p>
      <w:r>
        <w:t xml:space="preserve">StGB Bedenken entgegenstehen (vgl. dazu nachstehend 3.). Der Schuldspruch</w:t>
      </w:r>
    </w:p>
    <w:p>
      <w:r>
        <w:t xml:space="preserve">wegen gefährlicher Körperverletzung ist hingegen rechtsfehlerfrei und kann be-</w:t>
      </w:r>
    </w:p>
    <w:p>
      <w:r>
        <w:t xml:space="preserve">stehen bleiben.</w:t>
      </w:r>
    </w:p>
    <w:p>
      <w:r>
        <w:t xml:space="preserve">2. Die Verurteilung des Angeklagten M. hält rechtlicher Überprü-</w:t>
      </w:r>
    </w:p>
    <w:p>
      <w:r>
        <w:t xml:space="preserve">fung ebenfalls nicht Stand.</w:t>
      </w:r>
    </w:p>
    <w:p>
      <w:r>
        <w:t xml:space="preserve">a) Der Rechtsfolgenausspruch muss aufgehoben werden, weil das</w:t>
      </w:r>
    </w:p>
    <w:p>
      <w:r>
        <w:t xml:space="preserve">Landgericht bei der konkreten Strafzumessung eine wegen der verminderten</w:t>
      </w:r>
    </w:p>
    <w:p>
      <w:r>
        <w:t xml:space="preserve">Steuerungsfähigkeit des Angeklagten in Betracht kommende Verschiebung des</w:t>
      </w:r>
    </w:p>
    <w:p>
      <w:r>
        <w:t xml:space="preserve">Strafrahmens nach §§ 21, 49 Abs. 1 StGB nicht erörtert hat. Eine Fallbesonder-</w:t>
      </w:r>
    </w:p>
    <w:p>
      <w:r>
        <w:t xml:space="preserve">heit, bei der ausnahmsweise hierauf hätte verzichtet werden können, liegt nicht</w:t>
      </w:r>
    </w:p>
    <w:p>
      <w:r>
        <w:t xml:space="preserve">vor. Dies gilt auch im Hinblick darauf, dass der Angeklagte vor der Tat Alkohol</w:t>
      </w:r>
    </w:p>
    <w:p>
      <w:r>
        <w:t xml:space="preserve">zu sich genommen hatte (zur Versagung der Strafmilderung in Fällen verschul-</w:t>
      </w:r>
    </w:p>
    <w:p>
      <w:r>
        <w:t xml:space="preserve">deter Trunkenheit vgl. BGHSt 49, 239; Senat BGHR StGB § 21 Strafrahmen-</w:t>
      </w:r>
    </w:p>
    <w:p>
      <w:r>
        <w:rPr>
          <w:b/>
        </w:rPr>
        <w:t xml:space="preserve">Rn. 10</w:t>
      </w:r>
    </w:p>
    <w:p>
      <w:r>
        <w:t xml:space="preserve">verschiebung 31, 33), denn die Schuldfähigkeit des Angeklagten war nicht allein</w:t>
      </w:r>
    </w:p>
    <w:p>
      <w:r>
        <w:t xml:space="preserve">wegen des zuvor genossenen Alkohols, sondern wegen eines Zusammenwir-</w:t>
      </w:r>
    </w:p>
    <w:p>
      <w:r>
        <w:t xml:space="preserve">kens mit einer Persönlichkeitsstörung und der möglicherweise kurz vor der Tat</w:t>
      </w:r>
    </w:p>
    <w:p>
      <w:r>
        <w:t xml:space="preserve">durch den Angeklagten O. verursachten Gehirnerschütterung erheblich</w:t>
      </w:r>
    </w:p>
    <w:p>
      <w:r>
        <w:t xml:space="preserve">eingeschränkt.</w:t>
      </w:r>
    </w:p>
    <w:p>
      <w:r>
        <w:rPr>
          <w:b/>
        </w:rPr>
        <w:t xml:space="preserve">Rn. 11</w:t>
      </w:r>
    </w:p>
    <w:p>
      <w:r>
        <w:t xml:space="preserve">b) Dies führt hier auch zur Aufhebung des Schuldspruchs. Dieser ist</w:t>
      </w:r>
    </w:p>
    <w:p>
      <w:r>
        <w:t xml:space="preserve">rechtsfehlerhaft, weil die Strafkammer eine Strafbarkeit des Angeklagten wegen</w:t>
      </w:r>
    </w:p>
    <w:p>
      <w:r>
        <w:t xml:space="preserve">Körperverletzung mit Todesfolge (§ 227 StGB) abgelehnt hat, obwohl der An-</w:t>
      </w:r>
    </w:p>
    <w:p>
      <w:r>
        <w:t xml:space="preserve">geklagte nach ihrer Überzeugung die Körperverletzung mittels einer das Leben</w:t>
      </w:r>
    </w:p>
    <w:p>
      <w:r>
        <w:t xml:space="preserve">gefährdenden Behandlung verübte (§ 224 Abs. 1 Nr. 5 StGB) und deshalb die</w:t>
      </w:r>
    </w:p>
    <w:p>
      <w:r>
        <w:t xml:space="preserve">Umstände erkannte, aus denen sich die allgemeine Lebensgefährlichkeit der</w:t>
      </w:r>
    </w:p>
    <w:p>
      <w:r>
        <w:t xml:space="preserve">konkreten Verletzungshandlungen ergab. Zwar ist der Angeklagte durch diesen</w:t>
      </w:r>
    </w:p>
    <w:p>
      <w:r>
        <w:t xml:space="preserve">Fehler nicht beschwert. Der Senat hebt indes den Schuldspruch auf, um dem</w:t>
      </w:r>
    </w:p>
    <w:p>
      <w:r>
        <w:t xml:space="preserve">neuen Tatrichter eine zutreffende Beurteilung des festgestellten Sachverhalts</w:t>
      </w:r>
    </w:p>
    <w:p>
      <w:r>
        <w:t xml:space="preserve">und eine insgesamt neue Grundlage für die Straffestsetzung zu ermöglichen.</w:t>
      </w:r>
    </w:p>
    <w:p>
      <w:r>
        <w:t xml:space="preserve">Die Feststellungen zur Person, zum objektiven Tatgeschehen und zum Vorsatz</w:t>
      </w:r>
    </w:p>
    <w:p>
      <w:r>
        <w:t xml:space="preserve">sind von dem Fehler nicht erfasst und können deshalb bestehen bleiben. Auf-</w:t>
      </w:r>
    </w:p>
    <w:p>
      <w:r>
        <w:t xml:space="preserve">gehoben ist allein die Feststellung zur fehlenden Vorhersehbarkeit des Todes</w:t>
      </w:r>
    </w:p>
    <w:p>
      <w:r>
        <w:t xml:space="preserve">des N. .</w:t>
      </w:r>
    </w:p>
    <w:p>
      <w:r>
        <w:rPr>
          <w:b/>
        </w:rPr>
        <w:t xml:space="preserve">Rn. 12</w:t>
      </w:r>
    </w:p>
    <w:p>
      <w:r>
        <w:t xml:space="preserve">3. Sollte der neue Tatrichter erneut zu der Feststellung gelangen, dass</w:t>
      </w:r>
    </w:p>
    <w:p>
      <w:r>
        <w:t xml:space="preserve">die Steuerungsfähigkeit des Angeklagten O. bei Tatbegehung erheblich</w:t>
      </w:r>
    </w:p>
    <w:p>
      <w:r>
        <w:t xml:space="preserve">vermindert war, wird er der Bedeutung des Alkoholkonsums des Angeklagten</w:t>
      </w:r>
    </w:p>
    <w:p>
      <w:r>
        <w:t xml:space="preserve">für das Tatgeschehen sowie für eine von dem Angeklagten etwa auszugehende</w:t>
      </w:r>
    </w:p>
    <w:p>
      <w:r>
        <w:t xml:space="preserve">Gefahr für die Allgemeinheit erneut besondere Aufmerksamkeit schenken müs-</w:t>
      </w:r>
    </w:p>
    <w:p>
      <w:r>
        <w:t xml:space="preserve">sen. Die Ablehnung einer Strafrahmenverschiebung ist bislang nicht rechtsfeh-</w:t>
      </w:r>
    </w:p>
    <w:p>
      <w:r>
        <w:t xml:space="preserve">lerfrei begründet.</w:t>
      </w:r>
    </w:p>
    <w:p>
      <w:r>
        <w:rPr>
          <w:b/>
        </w:rPr>
        <w:t xml:space="preserve">Rn. 13</w:t>
      </w:r>
    </w:p>
    <w:p>
      <w:r>
        <w:t xml:space="preserve">Beruht die erhebliche Verminderung der Schuldfähigkeit auf einer Trun-</w:t>
      </w:r>
    </w:p>
    <w:p>
      <w:r>
        <w:t xml:space="preserve">kenheit des Angeklagten, so ist Voraussetzung für die Versagung der Strafmil-</w:t>
      </w:r>
    </w:p>
    <w:p>
      <w:r>
        <w:t xml:space="preserve">derung nach §§ 21, 49 Abs. 1 StGB in jedem Fall, dass dem Angeklagten der</w:t>
      </w:r>
    </w:p>
    <w:p>
      <w:r>
        <w:t xml:space="preserve">Alkoholkonsum uneingeschränkt vorwerfbar ist (BGHR StGB § 21 Strafrahmen-</w:t>
      </w:r>
    </w:p>
    <w:p>
      <w:r>
        <w:t xml:space="preserve">verschiebung 31, 33; so auch BGHSt 49, 239 - Trunkenheit vom Angeklagten</w:t>
      </w:r>
    </w:p>
    <w:p>
      <w:r>
        <w:t xml:space="preserve">zu verantworten). Hieran bestehen nach den bisherigen Feststellungen Zweifel.</w:t>
      </w:r>
    </w:p>
    <w:p>
      <w:r>
        <w:t xml:space="preserve">Das Landgericht hat sachverständig beraten dargelegt, dass der Angeklagte</w:t>
      </w:r>
    </w:p>
    <w:p>
      <w:r>
        <w:t xml:space="preserve">weder alkoholkrank sei noch vom Alkohol weitgehend beherrscht werde (UA</w:t>
      </w:r>
    </w:p>
    <w:p>
      <w:r>
        <w:t xml:space="preserve">S. 67). Dies steht in einem Widerspruch zu den Ausführungen im Zusammen-</w:t>
      </w:r>
    </w:p>
    <w:p>
      <w:r>
        <w:t xml:space="preserve">hang mit der Maßregelanordnung: Danach hat der Angeklagte den "psychi-</w:t>
      </w:r>
    </w:p>
    <w:p>
      <w:r>
        <w:t xml:space="preserve">schen Hang", in alltäglichen Stresssituationen Alkohol als Katalysator zu benut-</w:t>
      </w:r>
    </w:p>
    <w:p>
      <w:r>
        <w:t xml:space="preserve">zen, der schon in geringer Dosierung zusammen mit der dissozialen Persön-</w:t>
      </w:r>
    </w:p>
    <w:p>
      <w:r>
        <w:t xml:space="preserve">lichkeitsstörung die Gefahr gewalttätiger Ausbrüche gegenüber Dritten in sich</w:t>
      </w:r>
    </w:p>
    <w:p>
      <w:r>
        <w:t xml:space="preserve">birgt (UA S. 71).</w:t>
      </w:r>
    </w:p>
    <w:p>
      <w:r>
        <w:t xml:space="preserve">Tolksdorf Miebach Pfister</w:t>
      </w:r>
    </w:p>
    <w:p>
      <w:r>
        <w:t xml:space="preserve">RiBGH Becker ist urlaubsbedingt an der Unterzeichnung gehindert.</w:t>
      </w:r>
    </w:p>
    <w:p>
      <w:r>
        <w:t xml:space="preserve">Tolksdorf Hubert</w:t>
      </w:r>
    </w:p>
    <w:p>
      <w:r>
        <w:rPr>
          <w:color w:val="555555"/>
          <w:sz w:val="17"/>
        </w:rPr>
        <w:t xml:space="preserve">Zitiervorschlag: BGH, Beschluss vom 21.06.2007 – 3 StR 180/07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https://recht.nulegal.eu/rechtsprechung/bgh/2007-06-21/3-str-180-07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Fassung. Maßgeblich ist die Fassung des Gerichts.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BGH, Beschluss vom 21.06.2007 – 3 StR 180/07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