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29.05.2007 – 3 StR 190/07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3 StR 190/07</w:t>
      </w:r>
    </w:p>
    <w:p>
      <w:pPr>
        <w:pStyle w:val="Heading2"/>
      </w:pPr>
      <w:r>
        <w:t xml:space="preserve">BESCHLUSS</w:t>
      </w:r>
    </w:p>
    <w:p>
      <w:r>
        <w:t xml:space="preserve">vom 29. Mai 2007 in der Strafsache gegen</w:t>
      </w:r>
    </w:p>
    <w:p>
      <w:r>
        <w:t xml:space="preserve">wegen Vergewaltigung u. a.</w:t>
      </w:r>
    </w:p>
    <w:p>
      <w:r>
        <w:t xml:space="preserve">Der 3. Strafsenat des Bundesgerichtshofs hat auf Antrag des Generalbundesanwalts und nach Anhörung des Beschwerdeführers am 29. Mai 2007 einstimmig beschlos- sen:</w:t>
      </w:r>
    </w:p>
    <w:p>
      <w:r>
        <w:t xml:space="preserve">Die Revision des Angeklagten gegen das Urteil des Landgerichts Oldenburg vom 6. Oktober 2006 wird als unbegründet verworfen, da die Nachprüfung des Urteils auf Grund der Revisionsrechtfertigung kei- nen Rechtsfehler zum Nachteil des Angeklagten ergeben hat (§ 349 Abs. 2 StPO); jedoch wird der Schuldspruch dahin geändert, dass der Angeklagte der schweren Vergewaltigung in Tateinheit mit gefährlicher Körperverletzung schuldig ist. Gegen die Verurteilung wegen schwerer Vergewaltigung (§ 177 Abs. 3 Nr. 2 StGB) hätte sich der Angeklagte, der im Übrigen Gewalt angewandt hat (vgl. BGHSt 14, 81), nicht anders als geschehen verteidigen können. Durch die nicht mehr schuldange- messene, zu milde (vereinbarte) Strafe ist der Angeklagte nicht be- schwert.</w:t>
      </w:r>
    </w:p>
    <w:p>
      <w:r>
        <w:t xml:space="preserve">Der Beschwerdeführer hat die Kosten des Rechtsmittels und die der Nebenklägerin im Revisionsverfahren entstandenen notwendigen Aus- lagen zu tragen.</w:t>
      </w:r>
    </w:p>
    <w:p>
      <w:r>
        <w:t xml:space="preserve">Tolksdorf Miebach Pfister von Lienen Hubert</w:t>
      </w:r>
    </w:p>
    <w:p>
      <w:r>
        <w:rPr>
          <w:color w:val="555555"/>
          <w:sz w:val="17"/>
        </w:rPr>
        <w:t xml:space="preserve">Zitiervorschlag: BGH, Beschluss vom 29.05.2007 – 3 StR 190/07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https://recht.nulegal.eu/rechtsprechung/bgh/2007-05-29/3-str-190-07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