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25.05.2007 – 1 StR 223/07</w:t>
      </w:r>
    </w:p>
    <w:p>
      <w:r>
        <w:rPr>
          <w:color w:val="555555"/>
          <w:sz w:val="18"/>
        </w:rPr>
        <w:t xml:space="preserve">1. Strafsenat</w:t>
      </w:r>
    </w:p>
    <w:p>
      <w:r>
        <w:t xml:space="preserve">BUNDESGERICHTSHOF</w:t>
      </w:r>
    </w:p>
    <w:p>
      <w:r>
        <w:t xml:space="preserve">1 StR 223/07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25. Mai 2007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unerlaubten Handeltreibens mit Betäubungsmitteln in nicht geringer Menge u.a.</w:t>
      </w:r>
    </w:p>
    <w:p>
      <w:r>
        <w:t xml:space="preserve">Der 1. Strafsenat des Bundesgerichtshofs hat am 25. Mai 2007 beschlossen:</w:t>
      </w:r>
    </w:p>
    <w:p>
      <w:r>
        <w:t xml:space="preserve">1. Auf die Revision des Angeklagten wird das Urteil des Landge-</w:t>
      </w:r>
    </w:p>
    <w:p>
      <w:r>
        <w:t xml:space="preserve">richts Nürnberg-Fürth vom 13. November 2006, soweit es ihn</w:t>
      </w:r>
    </w:p>
    <w:p>
      <w:r>
        <w:t xml:space="preserve">betrifft, im Ausspruch über die Gesamtstrafe aufgehoben.</w:t>
      </w:r>
    </w:p>
    <w:p>
      <w:r>
        <w:t xml:space="preserve">2. Die weitergehende Revision wird verworfen.</w:t>
      </w:r>
    </w:p>
    <w:p>
      <w:r>
        <w:t xml:space="preserve">3. Im Umfang der Aufhebung wird die Sache zu neuer Verhand-</w:t>
      </w:r>
    </w:p>
    <w:p>
      <w:r>
        <w:t xml:space="preserve">lung und Entscheidung, auch über die Kosten des Rechtsmit-</w:t>
      </w:r>
    </w:p>
    <w:p>
      <w:r>
        <w:t xml:space="preserve">tels, an eine andere Strafkammer des Landgerichts zurückver-</w:t>
      </w:r>
    </w:p>
    <w:p>
      <w:r>
        <w:t xml:space="preserve">wiesen.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1. Das Landgericht hat den Angeklagten wegen unerlaubten Handeltrei-</w:t>
      </w:r>
    </w:p>
    <w:p>
      <w:r>
        <w:t xml:space="preserve">bens mit Betäubungsmitteln in nicht geringer Menge in neun Fällen und des</w:t>
      </w:r>
    </w:p>
    <w:p>
      <w:r>
        <w:t xml:space="preserve">unerlaubten Erwerbs von Betäubungsmitteln zu einer Gesamtfreiheitsstrafe</w:t>
      </w:r>
    </w:p>
    <w:p>
      <w:r>
        <w:t xml:space="preserve">verurteilt. Diese beträgt nach der Urteilsformel fünf Jahre, während sie ausweis-</w:t>
      </w:r>
    </w:p>
    <w:p>
      <w:r>
        <w:t xml:space="preserve">lich der Urteilsgründe in Höhe von vier Jahren tat- und schuldangemessen ist.</w:t>
      </w:r>
    </w:p>
    <w:p>
      <w:r>
        <w:t xml:space="preserve">Nachdem in der Revisionsbegründung auf die Divergenz zwischen Urteilsformel</w:t>
      </w:r>
    </w:p>
    <w:p>
      <w:r>
        <w:t xml:space="preserve">und Urteilsgründen hingewiesen worden war, hat die Strafkammer einen Be-</w:t>
      </w:r>
    </w:p>
    <w:p>
      <w:r>
        <w:t xml:space="preserve">richtigungsbeschluss dahingehend erlassen, dass in den Urteilsgründen die</w:t>
      </w:r>
    </w:p>
    <w:p>
      <w:r>
        <w:t xml:space="preserve">Gesamtfreiheitsstrafe in Höhe von fünf Jahren als tat- und schuldangemessen</w:t>
      </w:r>
    </w:p>
    <w:p>
      <w:r>
        <w:rPr>
          <w:b/>
        </w:rPr>
        <w:t xml:space="preserve">Rn. 3</w:t>
      </w:r>
    </w:p>
    <w:p>
      <w:r>
        <w:t xml:space="preserve">bezeichnet wird. Zur Begründung heißt es, es handle sich ersichtlich um ein</w:t>
      </w:r>
    </w:p>
    <w:p>
      <w:r>
        <w:t xml:space="preserve">Schreibversehen.</w:t>
      </w:r>
    </w:p>
    <w:p>
      <w:r>
        <w:t xml:space="preserve">2. Die auf die Verletzung sachlichen Rechts gestützte Revision des An-</w:t>
      </w:r>
    </w:p>
    <w:p>
      <w:r>
        <w:t xml:space="preserve">geklagten hat wegen des Widerspruchs zwischen der Urteilsformel und den Ur-</w:t>
      </w:r>
    </w:p>
    <w:p>
      <w:r>
        <w:t xml:space="preserve">teilsgründen zum Gesamtstrafenausspruch Erfolg. Im Übrigen ist sie im Sinne</w:t>
      </w:r>
    </w:p>
    <w:p>
      <w:r>
        <w:t xml:space="preserve">des § 349 Abs. 2 StPO unbegründet.</w:t>
      </w:r>
    </w:p>
    <w:p>
      <w:r>
        <w:t xml:space="preserve">a) Die in der Urteilsformel genannte Gesamtfreiheitsstrafe von fünf Jah-</w:t>
      </w:r>
    </w:p>
    <w:p>
      <w:r>
        <w:t xml:space="preserve">ren kann nicht bestehen bleiben. Sie wird von den Erwägungen zur Strafzu-</w:t>
      </w:r>
    </w:p>
    <w:p>
      <w:r>
        <w:t xml:space="preserve">messung nicht getragen, die - für sich betrachtet - rechtsfehlerfrei sind. Es liegt</w:t>
      </w:r>
    </w:p>
    <w:p>
      <w:r>
        <w:t xml:space="preserve">keine Fallgestaltung vor, bei der ohne Weiteres deutlich wird, dass der Tatrich-</w:t>
      </w:r>
    </w:p>
    <w:p>
      <w:r>
        <w:t xml:space="preserve">ter seine Ausführungen zur Strafzumessung in Wirklichkeit nicht auf die in den</w:t>
      </w:r>
    </w:p>
    <w:p>
      <w:r>
        <w:t xml:space="preserve">Urteilsgründen, sondern auf die in der Urteilsformel bezeichnete Strafe bezogen</w:t>
      </w:r>
    </w:p>
    <w:p>
      <w:r>
        <w:t xml:space="preserve">hat und dass diese Strafe trotz der anders lautenden Urteilsgründe dem Bera-</w:t>
      </w:r>
    </w:p>
    <w:p>
      <w:r>
        <w:t xml:space="preserve">tungsergebnis entspricht (vgl. BGHR StPO § 260 Abs. 1 Urteilstenor 1 und 2).</w:t>
      </w:r>
    </w:p>
    <w:p>
      <w:r>
        <w:t xml:space="preserve">Dies ergibt sich insbesondere nicht aus einem Vergleich mit den gegen die Mit-</w:t>
      </w:r>
    </w:p>
    <w:p>
      <w:r>
        <w:t xml:space="preserve">angeklagten A. und B. verhängten Gesamtfreiheitsstrafen von drei und</w:t>
      </w:r>
    </w:p>
    <w:p>
      <w:r>
        <w:t xml:space="preserve">vier Jahren, denen, obwohl sie niedriger als fünf Jahre sind, sogar noch höhere</w:t>
      </w:r>
    </w:p>
    <w:p>
      <w:r>
        <w:t xml:space="preserve">Einsatzstrafen als bei dem Beschwerdeführer zugrunde liegen.</w:t>
      </w:r>
    </w:p>
    <w:p>
      <w:r>
        <w:rPr>
          <w:b/>
        </w:rPr>
        <w:t xml:space="preserve">Rn. 4</w:t>
      </w:r>
    </w:p>
    <w:p>
      <w:r>
        <w:t xml:space="preserve">b) Der Berichtigungsbeschluss ist unwirksam, weil das vom Landgericht</w:t>
      </w:r>
    </w:p>
    <w:p>
      <w:r>
        <w:t xml:space="preserve">angeführte Schreibversehen nicht offensichtlich ist. Enthalten die Urteilsgründe</w:t>
      </w:r>
    </w:p>
    <w:p>
      <w:r>
        <w:t xml:space="preserve">- wie hier - für sich genommen rechtlich einwandfreie Strafzumessungserwä-</w:t>
      </w:r>
    </w:p>
    <w:p>
      <w:r>
        <w:t xml:space="preserve">gungen, kann ein die Strafhöhe betreffender Widerspruch zwischen der Urteils-</w:t>
      </w:r>
    </w:p>
    <w:p>
      <w:r>
        <w:t xml:space="preserve">formel und den Urteilsgründen in der Regel nicht als offenkundiges Fassungs-</w:t>
      </w:r>
    </w:p>
    <w:p>
      <w:r>
        <w:t xml:space="preserve">versehen aufgefasst werden, das einer nachträglichen Berichtigung zugänglich</w:t>
      </w:r>
    </w:p>
    <w:p>
      <w:r>
        <w:t xml:space="preserve">wäre (vgl. BGHR StPO § 260 Abs. 1 Urteilstenor 2).</w:t>
      </w:r>
    </w:p>
    <w:p>
      <w:r>
        <w:rPr>
          <w:b/>
        </w:rPr>
        <w:t xml:space="preserve">Rn. 5</w:t>
      </w:r>
    </w:p>
    <w:p>
      <w:r>
        <w:t xml:space="preserve">c) Der Tatrichter muss die Strafe neu festsetzen. Es lässt sich auf der</w:t>
      </w:r>
    </w:p>
    <w:p>
      <w:r>
        <w:t xml:space="preserve">Grundlage des Urteils weder ausschließen, dass das Landgericht die in der Ur-</w:t>
      </w:r>
    </w:p>
    <w:p>
      <w:r>
        <w:t xml:space="preserve">teilsformel genannte Freiheitsstrafe von fünf Jahren hat verhängen wollen,</w:t>
      </w:r>
    </w:p>
    <w:p>
      <w:r>
        <w:t xml:space="preserve">noch, dass es die in den Urteilsgründen bezeichnete Freiheitsstrafe von vier</w:t>
      </w:r>
    </w:p>
    <w:p>
      <w:r>
        <w:t xml:space="preserve">Jahren für angemessen gehalten hat. Die Feststellungen zur Strafzumessung</w:t>
      </w:r>
    </w:p>
    <w:p>
      <w:r>
        <w:t xml:space="preserve">sind von dem Rechtsfehler nicht betroffen und bleiben deshalb bestehen.</w:t>
      </w:r>
    </w:p>
    <w:p>
      <w:r>
        <w:t xml:space="preserve">Nack Wahl Boetticher</w:t>
      </w:r>
    </w:p>
    <w:p>
      <w:r>
        <w:t xml:space="preserve">Kolz Elf</w:t>
      </w:r>
    </w:p>
    <w:p>
      <w:r>
        <w:rPr>
          <w:color w:val="555555"/>
          <w:sz w:val="17"/>
        </w:rPr>
        <w:t xml:space="preserve">Zitiervorschlag: BGH, Beschluss vom 25.05.2007 – 1 StR 223/07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https://recht.nulegal.eu/rechtsprechung/bgh/2007-05-25/1-str-223-07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