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18.04.2007 – 2 StR 19/07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18. April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2 StR 19/07</w:t>
      </w:r>
    </w:p>
    <w:p>
      <w:r>
        <w:t xml:space="preserve">1.</w:t>
      </w:r>
    </w:p>
    <w:p>
      <w:r>
        <w:t xml:space="preserve">2.</w:t>
      </w:r>
    </w:p>
    <w:p>
      <w:r>
        <w:t xml:space="preserve">wegen sexuellen Missbrauchs von Schutzbefohlenen u. a.</w:t>
      </w:r>
    </w:p>
    <w:p>
      <w:r>
        <w:t xml:space="preserve">Der 2. Strafsenat des Bundesgerichtshofs hat nach Anhörung des Generalbun-</w:t>
      </w:r>
    </w:p>
    <w:p>
      <w:r>
        <w:t xml:space="preserve">desanwalts und der Beschwerdeführer am 18. April 2007 gemäß § 349 Abs. 2</w:t>
      </w:r>
    </w:p>
    <w:p>
      <w:r>
        <w:t xml:space="preserve">und 4 StPO beschlossen:</w:t>
      </w:r>
    </w:p>
    <w:p>
      <w:r>
        <w:t xml:space="preserve">1. Auf die Revision des Angeklagten P. S. wird das Urteil</w:t>
      </w:r>
    </w:p>
    <w:p>
      <w:r>
        <w:t xml:space="preserve">des Landgerichts Kassel vom 26. Juni 2006 - soweit es ihn be-</w:t>
      </w:r>
    </w:p>
    <w:p>
      <w:r>
        <w:t xml:space="preserve">trifft - mit den zugehörigen Feststellungen aufgehoben</w:t>
      </w:r>
    </w:p>
    <w:p>
      <w:r>
        <w:t xml:space="preserve">a) soweit der Angeklagte im Fall II 36 verurteilt wurde und</w:t>
      </w:r>
    </w:p>
    <w:p>
      <w:r>
        <w:t xml:space="preserve">b) im Gesamtstrafenausspruch.</w:t>
      </w:r>
    </w:p>
    <w:p>
      <w:r>
        <w:t xml:space="preserve">2. Auf die Revision der Angeklagten M. S. wird das ge-</w:t>
      </w:r>
    </w:p>
    <w:p>
      <w:r>
        <w:t xml:space="preserve">nannte Urteil - soweit es sie betrifft - mit den zugehörigen Fest-</w:t>
      </w:r>
    </w:p>
    <w:p>
      <w:r>
        <w:t xml:space="preserve">stellungen aufgehoben.</w:t>
      </w:r>
    </w:p>
    <w:p>
      <w:r>
        <w:t xml:space="preserve">3. Im Umfang der Aufhebung wird die Sache zu neuer Verhand-</w:t>
      </w:r>
    </w:p>
    <w:p>
      <w:r>
        <w:t xml:space="preserve">lung und Entscheidung, auch über die Kosten der Rechtsmittel,</w:t>
      </w:r>
    </w:p>
    <w:p>
      <w:r>
        <w:t xml:space="preserve">an eine andere Jugendschutzkammer des Landgerichts zurück-</w:t>
      </w:r>
    </w:p>
    <w:p>
      <w:r>
        <w:t xml:space="preserve">verwiesen.</w:t>
      </w:r>
    </w:p>
    <w:p>
      <w:r>
        <w:t xml:space="preserve">4. Das weitergehende Rechtsmittel des Angeklagten P. S.</w:t>
      </w:r>
    </w:p>
    <w:p>
      <w:r>
        <w:t xml:space="preserve">wird verworfen.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Das Landgericht hat den Angeklagten P. S. wegen sexuellen</w:t>
      </w:r>
    </w:p>
    <w:p>
      <w:r>
        <w:t xml:space="preserve">Missbrauchs von Schutzbefohlenen in 36 Fällen, davon in zwei Fällen in Tat-</w:t>
      </w:r>
    </w:p>
    <w:p>
      <w:r>
        <w:t xml:space="preserve">einheit mit sexueller Nötigung, wobei es in einem Fall beim Versuch blieb, zu</w:t>
      </w:r>
    </w:p>
    <w:p>
      <w:r>
        <w:t xml:space="preserve">der Gesamtfreiheitsstrafe von drei Jahren und neun Monaten verurteilt und ihn</w:t>
      </w:r>
    </w:p>
    <w:p>
      <w:r>
        <w:t xml:space="preserve">im Übrigen freigesprochen.</w:t>
      </w:r>
    </w:p>
    <w:p>
      <w:r>
        <w:rPr>
          <w:b/>
        </w:rPr>
        <w:t xml:space="preserve">Rn. 6</w:t>
      </w:r>
    </w:p>
    <w:p>
      <w:r>
        <w:t xml:space="preserve">Die Angeklagte M. S. hat das Landgericht wegen sexuellen</w:t>
      </w:r>
    </w:p>
    <w:p>
      <w:r>
        <w:t xml:space="preserve">Missbrauchs von Schutzbefohlenen in 14 Fällen zu der Gesamtfreiheitsstrafe</w:t>
      </w:r>
    </w:p>
    <w:p>
      <w:r>
        <w:t xml:space="preserve">von einem Jahr und sechs Monaten mit Strafaussetzung zur Bewährung verur-</w:t>
      </w:r>
    </w:p>
    <w:p>
      <w:r>
        <w:t xml:space="preserve">teilt.</w:t>
      </w:r>
    </w:p>
    <w:p>
      <w:r>
        <w:t xml:space="preserve">Die Angeklagten rügen mit ihren Rechtsmitteln die Verletzung materiellen</w:t>
      </w:r>
    </w:p>
    <w:p>
      <w:r>
        <w:t xml:space="preserve">Rechts, der Angeklagte P. S. auch die Verletzung des formellen Rechts.</w:t>
      </w:r>
    </w:p>
    <w:p>
      <w:r>
        <w:t xml:space="preserve">Die Rechtsmittel haben in dem aus der Beschlussformel ersichtlichen Umfang</w:t>
      </w:r>
    </w:p>
    <w:p>
      <w:r>
        <w:t xml:space="preserve">Erfolg. Das weitergehende Rechtsmittel des Angeklagten P. S. ist unbe-</w:t>
      </w:r>
    </w:p>
    <w:p>
      <w:r>
        <w:t xml:space="preserve">gründet im Sinne von § 349 Abs. 2 StPO.</w:t>
      </w:r>
    </w:p>
    <w:p>
      <w:r>
        <w:t xml:space="preserve">1. Revision des Angeklagten P. S.</w:t>
      </w:r>
    </w:p>
    <w:p>
      <w:r>
        <w:t xml:space="preserve">a) Im Fall II 35 hat das Landgericht den Angeklagten wegen sexueller</w:t>
      </w:r>
    </w:p>
    <w:p>
      <w:r>
        <w:t xml:space="preserve">Nötigung (§ 177 Abs. 1 StGB) in Tateinheit mit sexuellem Missbrauch von</w:t>
      </w:r>
    </w:p>
    <w:p>
      <w:r>
        <w:t xml:space="preserve">Schutzbefohlenen (§ 174 Abs. 1 Nr. 1 StGB) zu der Einzelfreiheitsstrafe von</w:t>
      </w:r>
    </w:p>
    <w:p>
      <w:r>
        <w:t xml:space="preserve">acht Monaten verurteilt.</w:t>
      </w:r>
    </w:p>
    <w:p>
      <w:r>
        <w:t xml:space="preserve">Der Schuldspruch auch wegen des tateinheitlichen Vergehens nach</w:t>
      </w:r>
    </w:p>
    <w:p>
      <w:r>
        <w:t xml:space="preserve">§ 174 Abs. 1 Nr. 1 StGB hält der sachlich-rechtlichen Prüfung nicht stand. Die</w:t>
      </w:r>
    </w:p>
    <w:p>
      <w:r>
        <w:t xml:space="preserve">durch diese Tat geschädigte Stieftochter Si-Yen ist am 24. Dezember 1985 ge-</w:t>
      </w:r>
    </w:p>
    <w:p>
      <w:r>
        <w:t xml:space="preserve">boren, die Tat wurde im Sommer 2002 begangen (UA S. 12). Damit war die</w:t>
      </w:r>
    </w:p>
    <w:p>
      <w:r>
        <w:t xml:space="preserve">Geschädigte zur Tatzeit älter als 16 Jahre und hatte die Schutzaltersgrenze des</w:t>
      </w:r>
    </w:p>
    <w:p>
      <w:r>
        <w:t xml:space="preserve">§ 174 Abs. 1 Nr. 1 StGB bereits überschritten.</w:t>
      </w:r>
    </w:p>
    <w:p>
      <w:r>
        <w:rPr>
          <w:b/>
        </w:rPr>
        <w:t xml:space="preserve">Rn. 7</w:t>
      </w:r>
    </w:p>
    <w:p>
      <w:r>
        <w:t xml:space="preserve">Der Angeklagte hat nach den Feststellungen des Landgerichts aber den</w:t>
      </w:r>
    </w:p>
    <w:p>
      <w:r>
        <w:t xml:space="preserve">mit einer höheren Schutzaltersgrenze von 18 Jahren versehenen Tatbestand</w:t>
      </w:r>
    </w:p>
    <w:p>
      <w:r>
        <w:t xml:space="preserve">des § 174 Abs. 1 Nr. 2 StGB erfüllt, weil zwischen ihm und der Stieftochter ein</w:t>
      </w:r>
    </w:p>
    <w:p>
      <w:r>
        <w:t xml:space="preserve">Erziehungsverhältnis bestand und er die Tat unter Missbrauch der mit diesem</w:t>
      </w:r>
    </w:p>
    <w:p>
      <w:r>
        <w:t xml:space="preserve">Erziehungsverhältnis verbundenen Abhängigkeit begangen hat. Der Angeklagte</w:t>
      </w:r>
    </w:p>
    <w:p>
      <w:r>
        <w:t xml:space="preserve">nahm nach den Feststellungen maßgeblichen Einfluss auf die Erziehung der</w:t>
      </w:r>
    </w:p>
    <w:p>
      <w:r>
        <w:t xml:space="preserve">Stieftochter. Diese hatte 2001 gegenüber ihrem leiblichen Vater erklärt, sie</w:t>
      </w:r>
    </w:p>
    <w:p>
      <w:r>
        <w:t xml:space="preserve">werde zu den Übergriffen des Angeklagten gegenüber ihrer jüngeren Schwester</w:t>
      </w:r>
    </w:p>
    <w:p>
      <w:r>
        <w:t xml:space="preserve">beim Jugendamt oder der Polizei nichts sagen, weil sie fürchtete, dann den</w:t>
      </w:r>
    </w:p>
    <w:p>
      <w:r>
        <w:t xml:space="preserve">Haushalt ihrer Mutter (und des Angeklagten) wieder verlassen zu müssen (UA</w:t>
      </w:r>
    </w:p>
    <w:p>
      <w:r>
        <w:t xml:space="preserve">S. 28). Die Geschädigte war mit den sexuellen Handlungen des Angeklagten</w:t>
      </w:r>
    </w:p>
    <w:p>
      <w:r>
        <w:t xml:space="preserve">- im Gegensatz zu ihrer Schwester (UA S. 36) - nicht einverstanden. Der Ange-</w:t>
      </w:r>
    </w:p>
    <w:p>
      <w:r>
        <w:t xml:space="preserve">klagte nutzte die Situation innerhalb der Familienwohnung und die aufgrund</w:t>
      </w:r>
    </w:p>
    <w:p>
      <w:r>
        <w:t xml:space="preserve">seiner Erziehungsfunktion dominierende Stellung aus, um sexuelle Handlungen</w:t>
      </w:r>
    </w:p>
    <w:p>
      <w:r>
        <w:t xml:space="preserve">an seiner Stieftochter vorzunehmen. Darüber hinaus wollte er mit ihr den Ge-</w:t>
      </w:r>
    </w:p>
    <w:p>
      <w:r>
        <w:t xml:space="preserve">schlechtsverkehr vollziehen. Erst die Rückkehr der mitangeklagten Ehefrau hielt</w:t>
      </w:r>
    </w:p>
    <w:p>
      <w:r>
        <w:t xml:space="preserve">ihn von der Fortsetzung der Tat ab.</w:t>
      </w:r>
    </w:p>
    <w:p>
      <w:r>
        <w:rPr>
          <w:b/>
        </w:rPr>
        <w:t xml:space="preserve">Rn. 8</w:t>
      </w:r>
    </w:p>
    <w:p>
      <w:r>
        <w:t xml:space="preserve">Dem Austausch der Tatbestandsvarianten steht § 265 StPO nicht entge-</w:t>
      </w:r>
    </w:p>
    <w:p>
      <w:r>
        <w:t xml:space="preserve">gen, weil sich der Angeklagte insoweit auch nach einem rechtlichen Hinweis</w:t>
      </w:r>
    </w:p>
    <w:p>
      <w:r>
        <w:t xml:space="preserve">nicht erfolgreicher hätte verteidigen können. Der Schuldspruch auch wegen tat-</w:t>
      </w:r>
    </w:p>
    <w:p>
      <w:r>
        <w:t xml:space="preserve">einheitlichen sexuellen Missbrauchs von Schutzbefohlenen wird durch den Aus-</w:t>
      </w:r>
    </w:p>
    <w:p>
      <w:r>
        <w:t xml:space="preserve">tausch der Tatbestands-Varianten nicht berührt. Eine ausdrückliche Schuld-</w:t>
      </w:r>
    </w:p>
    <w:p>
      <w:r>
        <w:t xml:space="preserve">spruchänderung ist deshalb nicht veranlasst. Auch die vom Landgericht für die</w:t>
      </w:r>
    </w:p>
    <w:p>
      <w:r>
        <w:t xml:space="preserve">Tat II 35 verhängte Einzelfreiheitsstrafe kann bestehen bleiben. Ein minder</w:t>
      </w:r>
    </w:p>
    <w:p>
      <w:r>
        <w:t xml:space="preserve">schwerer Fall der sexuellen Nötigung im Sinne von § 177 Abs. 5 StGB lag fern</w:t>
      </w:r>
    </w:p>
    <w:p>
      <w:r>
        <w:t xml:space="preserve">und musste daher vom Landgericht nicht ausdrücklich erörtert werden.</w:t>
      </w:r>
    </w:p>
    <w:p>
      <w:r>
        <w:rPr>
          <w:b/>
        </w:rPr>
        <w:t xml:space="preserve">Rn. 9</w:t>
      </w:r>
    </w:p>
    <w:p>
      <w:r>
        <w:t xml:space="preserve">b) Die Verurteilung wegen versuchter sexueller Nötigung in Tateinheit mit</w:t>
      </w:r>
    </w:p>
    <w:p>
      <w:r>
        <w:t xml:space="preserve">sexuellem Missbrauch von Schutzbefohlenen zum Nachteil der Stieftochter Si-</w:t>
      </w:r>
    </w:p>
    <w:p>
      <w:r>
        <w:t xml:space="preserve">Yen im Fall II 36 kann jedoch keinen Bestand haben.</w:t>
      </w:r>
    </w:p>
    <w:p>
      <w:r>
        <w:rPr>
          <w:b/>
        </w:rPr>
        <w:t xml:space="preserve">Rn. 10</w:t>
      </w:r>
    </w:p>
    <w:p>
      <w:r>
        <w:t xml:space="preserve">Nach den Feststellungen hat der Angeklagte versucht, Si-Yen in der Kü-</w:t>
      </w:r>
    </w:p>
    <w:p>
      <w:r>
        <w:t xml:space="preserve">che an die Brust zu fassen. Um ihre Gegenwehr zu unterbinden, legte er ihr</w:t>
      </w:r>
    </w:p>
    <w:p>
      <w:r>
        <w:t xml:space="preserve">einen Koffergurt um den Oberkörper und zog den Gurt zu. Erst nach langer Zeit</w:t>
      </w:r>
    </w:p>
    <w:p>
      <w:r>
        <w:t xml:space="preserve">gelang es Si-Yen, sich aus der Fesselung zu befreien. Die mitangeklagte Mutter</w:t>
      </w:r>
    </w:p>
    <w:p>
      <w:r>
        <w:t xml:space="preserve">sah dem Treiben unbeteiligt zu und lachte. Ergänzend führt das Landgericht im</w:t>
      </w:r>
    </w:p>
    <w:p>
      <w:r>
        <w:t xml:space="preserve">Rahmen der Beweiswürdigung lediglich aus, dass sich für den Angeklagten in-</w:t>
      </w:r>
    </w:p>
    <w:p>
      <w:r>
        <w:t xml:space="preserve">folge der Fesselung die Möglichkeit geboten habe sein Vorhaben, seine Stief-</w:t>
      </w:r>
    </w:p>
    <w:p>
      <w:r>
        <w:t xml:space="preserve">tochter an der Brust zu berühren, in die Tat umzusetzen (UA S. 31).</w:t>
      </w:r>
    </w:p>
    <w:p>
      <w:r>
        <w:rPr>
          <w:b/>
        </w:rPr>
        <w:t xml:space="preserve">Rn. 11</w:t>
      </w:r>
    </w:p>
    <w:p>
      <w:r>
        <w:t xml:space="preserve">Auf der Grundlage dieser Feststellungen lässt sich weder überprüfen, ob</w:t>
      </w:r>
    </w:p>
    <w:p>
      <w:r>
        <w:t xml:space="preserve">der Angeklagte vom Versuch der sexuellen Nötigung strafbefreiend zurückge-</w:t>
      </w:r>
    </w:p>
    <w:p>
      <w:r>
        <w:t xml:space="preserve">treten ist oder ob ein Rücktritt wegen Vollendung der Tat nicht mehr möglich</w:t>
      </w:r>
    </w:p>
    <w:p>
      <w:r>
        <w:t xml:space="preserve">war, noch, ob es über die Fesselung hinaus überhaupt zu einer sexuellen Hand-</w:t>
      </w:r>
    </w:p>
    <w:p>
      <w:r>
        <w:t xml:space="preserve">lung des Angeklagten an seiner Stieftochter gekommen ist. Aus welchen Grün-</w:t>
      </w:r>
    </w:p>
    <w:p>
      <w:r>
        <w:t xml:space="preserve">den der Angeklagte von seinem Vorhaben, sexuelle Handlungen an Si-Yen vor-</w:t>
      </w:r>
    </w:p>
    <w:p>
      <w:r>
        <w:t xml:space="preserve">zunehmen, abließ, ob freiwillig oder in Anbetracht des drohenden "Ausrastens"</w:t>
      </w:r>
    </w:p>
    <w:p>
      <w:r>
        <w:t xml:space="preserve">der Geschädigten (UA S. 31), ergibt sich aus den Urteilsgründen nicht.</w:t>
      </w:r>
    </w:p>
    <w:p>
      <w:r>
        <w:rPr>
          <w:b/>
        </w:rPr>
        <w:t xml:space="preserve">Rn. 13</w:t>
      </w:r>
    </w:p>
    <w:p>
      <w:r>
        <w:t xml:space="preserve">Insoweit ist das Urteil daher im Schuld- und Einzelstrafenausspruch auf-</w:t>
      </w:r>
    </w:p>
    <w:p>
      <w:r>
        <w:t xml:space="preserve">zuheben. Auch die Gesamtfreiheitsstrafe kann danach nicht bestehen bleiben.</w:t>
      </w:r>
    </w:p>
    <w:p>
      <w:r>
        <w:t xml:space="preserve">c) Im Umfang der Aufhebung ist die Sache zu neuer Verhandlung und</w:t>
      </w:r>
    </w:p>
    <w:p>
      <w:r>
        <w:t xml:space="preserve">Entscheidung zurückzuverweisen, weil nicht ausgeschlossen ist, dass in einer</w:t>
      </w:r>
    </w:p>
    <w:p>
      <w:r>
        <w:rPr>
          <w:b/>
        </w:rPr>
        <w:t xml:space="preserve">Rn. 15</w:t>
      </w:r>
    </w:p>
    <w:p>
      <w:r>
        <w:t xml:space="preserve">neuen Hauptverhandlung die bisher fehlenden Feststellungen zu der Tat II 36</w:t>
      </w:r>
    </w:p>
    <w:p>
      <w:r>
        <w:t xml:space="preserve">getroffen werden können.</w:t>
      </w:r>
    </w:p>
    <w:p>
      <w:r>
        <w:t xml:space="preserve">2. Revision der Angeklagten M. S.</w:t>
      </w:r>
    </w:p>
    <w:p>
      <w:r>
        <w:t xml:space="preserve">Der Schuldspruch wegen sexuellen Missbrauchs von Schutzbefohlenen</w:t>
      </w:r>
    </w:p>
    <w:p>
      <w:r>
        <w:t xml:space="preserve">in den Fällen II 22 bis 34 und 36 hält der sachlich-rechtlichen Prüfung nicht</w:t>
      </w:r>
    </w:p>
    <w:p>
      <w:r>
        <w:t xml:space="preserve">stand.</w:t>
      </w:r>
    </w:p>
    <w:p>
      <w:r>
        <w:rPr>
          <w:b/>
        </w:rPr>
        <w:t xml:space="preserve">Rn. 16</w:t>
      </w:r>
    </w:p>
    <w:p>
      <w:r>
        <w:t xml:space="preserve">In den Fällen II 22 bis 34 hat das Landgericht festgestellt, dass es im</w:t>
      </w:r>
    </w:p>
    <w:p>
      <w:r>
        <w:t xml:space="preserve">Wohnzimmer der Familienwohnung an Wochenenden zwischen dem Angeklag-</w:t>
      </w:r>
    </w:p>
    <w:p>
      <w:r>
        <w:t xml:space="preserve">ten P. S. und der Stieftochter Angela zu sog. "Familienspielen" kam. Sie</w:t>
      </w:r>
    </w:p>
    <w:p>
      <w:r>
        <w:t xml:space="preserve">führten dazu, dass sich der Angeklagte P. S. und Angela gegen den ge-</w:t>
      </w:r>
    </w:p>
    <w:p>
      <w:r>
        <w:t xml:space="preserve">spielten Widerstand des anderen gegenseitig ganz oder teilweise auszogen.</w:t>
      </w:r>
    </w:p>
    <w:p>
      <w:r>
        <w:t xml:space="preserve">Dabei kam es auch dazu, dass sie sich an den Geschlechtsteilen anfassten.</w:t>
      </w:r>
    </w:p>
    <w:p>
      <w:r>
        <w:t xml:space="preserve">Die anwesende Angeklagte M. S. beteiligte sich mindestens zweimal</w:t>
      </w:r>
    </w:p>
    <w:p>
      <w:r>
        <w:t xml:space="preserve">aktiv an diesen "Familienspielen", blieb im Übrigen aber passiv, ohne gegen</w:t>
      </w:r>
    </w:p>
    <w:p>
      <w:r>
        <w:t xml:space="preserve">diese Handlungen einzuschreiten. Das Landgericht hat 13 derartige Vorfälle</w:t>
      </w:r>
    </w:p>
    <w:p>
      <w:r>
        <w:t xml:space="preserve">festgestellt, wobei sich die Angeklagte M. S. am ersten und letzten</w:t>
      </w:r>
    </w:p>
    <w:p>
      <w:r>
        <w:t xml:space="preserve">Vorfall aktiv beteiligt habe (UA S. 10 ff.).</w:t>
      </w:r>
    </w:p>
    <w:p>
      <w:r>
        <w:rPr>
          <w:b/>
        </w:rPr>
        <w:t xml:space="preserve">Rn. 17</w:t>
      </w:r>
    </w:p>
    <w:p>
      <w:r>
        <w:t xml:space="preserve">Diese Feststellungen tragen den Schuldspruch wegen täterschaftlichen</w:t>
      </w:r>
    </w:p>
    <w:p>
      <w:r>
        <w:t xml:space="preserve">sexuellen Missbrauchs von Schutzbefohlenen in 13 Fällen nicht. Der sexuelle</w:t>
      </w:r>
    </w:p>
    <w:p>
      <w:r>
        <w:t xml:space="preserve">Missbrauch von Schutzbefohlenen ist ein eigenhändiges Delikt, das nur derjeni-</w:t>
      </w:r>
    </w:p>
    <w:p>
      <w:r>
        <w:t xml:space="preserve">ge als Täter verwirklichen kann, der mit dem Tatopfer körperlich in Berührung</w:t>
      </w:r>
    </w:p>
    <w:p>
      <w:r>
        <w:t xml:space="preserve">kommt (BGHSt 41, 242). Täterschaftliches Handeln durch Unterlassen ist des-</w:t>
      </w:r>
    </w:p>
    <w:p>
      <w:r>
        <w:t xml:space="preserve">halb bei diesem Tatbestand nicht möglich. Weder in den elf Fällen, in denen die</w:t>
      </w:r>
    </w:p>
    <w:p>
      <w:r>
        <w:t xml:space="preserve">Angeklagte M. S. passiv blieb (Fälle II 23 bis 33) noch in den beiden</w:t>
      </w:r>
    </w:p>
    <w:p>
      <w:r>
        <w:t xml:space="preserve">Fällen (II 22 und 34), in denen sich die Angeklagte aktiv an den Vorfällen betei-</w:t>
      </w:r>
    </w:p>
    <w:p>
      <w:r>
        <w:t xml:space="preserve">ligt haben soll, ist aber ein körperlicher Kontakt der Angeklagten mit ihrer Toch-</w:t>
      </w:r>
    </w:p>
    <w:p>
      <w:r>
        <w:t xml:space="preserve">ter Angela festgestellt, sodass ein täterschaftlicher Missbrauch nicht hinrei-</w:t>
      </w:r>
    </w:p>
    <w:p>
      <w:r>
        <w:t xml:space="preserve">chend belegt ist. Sollten sich insoweit auch in der neuen Hauptverhandlung kei-</w:t>
      </w:r>
    </w:p>
    <w:p>
      <w:r>
        <w:t xml:space="preserve">ne konkreten Feststellungen treffen lassen, kommt jedoch eine Strafbarkeit der</w:t>
      </w:r>
    </w:p>
    <w:p>
      <w:r>
        <w:t xml:space="preserve">Angeklagten wegen Beihilfe zu den Taten des Mitangeklagten P. S. in</w:t>
      </w:r>
    </w:p>
    <w:p>
      <w:r>
        <w:t xml:space="preserve">Betracht (vgl. BGHSt aaO S. 246).</w:t>
      </w:r>
    </w:p>
    <w:p>
      <w:r>
        <w:rPr>
          <w:b/>
        </w:rPr>
        <w:t xml:space="preserve">Rn. 18</w:t>
      </w:r>
    </w:p>
    <w:p>
      <w:r>
        <w:t xml:space="preserve">Aus den gleichen Gründen hat auch die Verurteilung der Angeklagten als</w:t>
      </w:r>
    </w:p>
    <w:p>
      <w:r>
        <w:t xml:space="preserve">Täterin eines sexuellen Missbrauchs von Schutzbefohlenen zum Nachteil ihrer</w:t>
      </w:r>
    </w:p>
    <w:p>
      <w:r>
        <w:t xml:space="preserve">Tochter Si-Yen im Fall II 36 keinen Bestand. Auch insoweit ist ein Körperkontakt</w:t>
      </w:r>
    </w:p>
    <w:p>
      <w:r>
        <w:t xml:space="preserve">der Angeklagten mit ihrer Tochter im Zusammenhang mit dem Tatgeschehen</w:t>
      </w:r>
    </w:p>
    <w:p>
      <w:r>
        <w:t xml:space="preserve">nicht festgestellt, sodass hier ebenfalls nur eine Beihilfehandlung der Angeklag-</w:t>
      </w:r>
    </w:p>
    <w:p>
      <w:r>
        <w:t xml:space="preserve">ten zur Haupttat des Mitangeklagten P. S. in Betracht kommt, wenn der</w:t>
      </w:r>
    </w:p>
    <w:p>
      <w:r>
        <w:t xml:space="preserve">neue Tatrichter hierzu keine weiteren Feststellungen treffen kann.</w:t>
      </w:r>
    </w:p>
    <w:p>
      <w:r>
        <w:rPr>
          <w:b/>
        </w:rPr>
        <w:t xml:space="preserve">Rn. 19</w:t>
      </w:r>
    </w:p>
    <w:p>
      <w:r>
        <w:t xml:space="preserve">Eine Änderung des Schuldspruchs durch den Senat wäre hier nicht</w:t>
      </w:r>
    </w:p>
    <w:p>
      <w:r>
        <w:t xml:space="preserve">sachgerecht, weil nicht auszuschließen ist, dass in einer neuen Hauptverhand-</w:t>
      </w:r>
    </w:p>
    <w:p>
      <w:r>
        <w:t xml:space="preserve">lung weitere Feststellungen zu den Anklagevorwürfen getroffen werden können.</w:t>
      </w:r>
    </w:p>
    <w:p>
      <w:r>
        <w:t xml:space="preserve">Zudem steht § 265 StPO entgegen.</w:t>
      </w:r>
    </w:p>
    <w:p>
      <w:r>
        <w:rPr>
          <w:b/>
        </w:rPr>
        <w:t xml:space="preserve">Rn. 21</w:t>
      </w:r>
    </w:p>
    <w:p>
      <w:r>
        <w:t xml:space="preserve">Mit der Aufhebung des Schuldspruchs ist der gesamte Strafausspruch</w:t>
      </w:r>
    </w:p>
    <w:p>
      <w:r>
        <w:t xml:space="preserve">gegenstandlos.</w:t>
      </w:r>
    </w:p>
    <w:p>
      <w:r>
        <w:t xml:space="preserve">3. Das Landgericht hat zudem die erhobene Anklage bisher nicht er-</w:t>
      </w:r>
    </w:p>
    <w:p>
      <w:r>
        <w:t xml:space="preserve">schöpfend behandelt. Die Staatsanwaltschaft hat in der Hauptverhandlung zwei</w:t>
      </w:r>
    </w:p>
    <w:p>
      <w:r>
        <w:t xml:space="preserve">Anträge nach § 154 Abs. 2 StPO gestellt. Diese Anträge betrafen beide Ange-</w:t>
      </w:r>
    </w:p>
    <w:p>
      <w:r>
        <w:t xml:space="preserve">klagte. Den Akten lässt sich jedoch nicht entnehmen, dass das Landgericht ü-</w:t>
      </w:r>
    </w:p>
    <w:p>
      <w:r>
        <w:t xml:space="preserve">ber diese Anträge entschieden hat. Dies hat bei dem Angeklagten P. S.</w:t>
      </w:r>
    </w:p>
    <w:p>
      <w:r>
        <w:t xml:space="preserve">zur Folge, dass unter Berücksichtigung des Schuldspruchs wegen 36 Taten und</w:t>
      </w:r>
    </w:p>
    <w:p>
      <w:r>
        <w:t xml:space="preserve">des Teilfreispruchs wegen fünf Taten (UA S. 34 bis 36) von den 103 angeklag-</w:t>
      </w:r>
    </w:p>
    <w:p>
      <w:r>
        <w:t xml:space="preserve">ten Taten noch 62 bei der bisher zuständigen Jugendschutzkammer des Land-</w:t>
      </w:r>
    </w:p>
    <w:p>
      <w:r>
        <w:t xml:space="preserve">gerichts anhängig sind. Die Angeklagte M. S. ist wegen 41 Taten an-</w:t>
      </w:r>
    </w:p>
    <w:p>
      <w:r>
        <w:t xml:space="preserve">geklagt worden. Auch insoweit sind nach der Verurteilung wegen 14 Taten noch</w:t>
      </w:r>
    </w:p>
    <w:p>
      <w:r>
        <w:t xml:space="preserve">27 Fälle bei der Jugendschutzkammer des Landgerichts anhängig. Die noch</w:t>
      </w:r>
    </w:p>
    <w:p>
      <w:r>
        <w:t xml:space="preserve">nicht erledigten Anklagevorwürfe können nicht im Revisionsverfahren erledigt</w:t>
      </w:r>
    </w:p>
    <w:p>
      <w:r>
        <w:t xml:space="preserve">werden, zuständig hierfür ist die bisherige Jugendschutzkammer (vgl. BGHR</w:t>
      </w:r>
    </w:p>
    <w:p>
      <w:r>
        <w:t xml:space="preserve">StPO § 352 Abs. 1 Prüfungsumfang 4).</w:t>
      </w:r>
    </w:p>
    <w:p>
      <w:r>
        <w:t xml:space="preserve">Rissing-van Saan Bode Rothfuß Roggenbuck</w:t>
      </w:r>
    </w:p>
    <w:p>
      <w:r>
        <w:t xml:space="preserve">RiBGH Appl ist wegen Urlaubs ortsabwesend und deshalb an der Unterschrift gehindert. Rissing-van Saan</w:t>
      </w:r>
    </w:p>
    <w:p>
      <w:r>
        <w:rPr>
          <w:color w:val="555555"/>
          <w:sz w:val="17"/>
        </w:rPr>
        <w:t xml:space="preserve">Zitiervorschlag: BGH, Beschluss vom 18.04.2007 – 2 StR 19/07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https://recht.nulegal.eu/rechtsprechung/bgh/2007-04-18/2-str-19-07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