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16.04.2007 – AnwZ (B) 39/05</w:t>
      </w:r>
    </w:p>
    <w:p>
      <w:r>
        <w:rPr>
          <w:color w:val="555555"/>
          <w:sz w:val="18"/>
        </w:rPr>
        <w:t xml:space="preserve">Senat fuer Anwaltssachen</w:t>
      </w:r>
    </w:p>
    <w:p>
      <w:r>
        <w:t xml:space="preserve">BUNDESGERICHTSHOF</w:t>
      </w:r>
    </w:p>
    <w:p>
      <w:r>
        <w:t xml:space="preserve">AnwZ (B) 39/05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16. April 2007</w:t>
      </w:r>
    </w:p>
    <w:p>
      <w:r>
        <w:t xml:space="preserve">in dem Verfahren</w:t>
      </w:r>
    </w:p>
    <w:p>
      <w:r>
        <w:t xml:space="preserve">wegen Widerrufs der Zulassung zur Rechtsanwaltschaft</w:t>
      </w:r>
    </w:p>
    <w:p>
      <w:r>
        <w:t xml:space="preserve">Der Bundesgerichtshof, Senat für Anwaltssachen, hat durch den Präsidenten</w:t>
      </w:r>
    </w:p>
    <w:p>
      <w:r>
        <w:t xml:space="preserve">des Bundesgerichtshofs Prof. Dr. Hirsch, die Richter Dr. Ernemann,</w:t>
      </w:r>
    </w:p>
    <w:p>
      <w:r>
        <w:t xml:space="preserve">Dr. Schmidt-Räntsch und Schaal sowie die Rechtsanwälte Dr. Wüllrich, Dr. Frey</w:t>
      </w:r>
    </w:p>
    <w:p>
      <w:r>
        <w:t xml:space="preserve">und Prof. Dr. Stüer</w:t>
      </w:r>
    </w:p>
    <w:p>
      <w:r>
        <w:t xml:space="preserve">am 16. April 2007</w:t>
      </w:r>
    </w:p>
    <w:p>
      <w:r>
        <w:t xml:space="preserve">beschlossen:</w:t>
      </w:r>
    </w:p>
    <w:p>
      <w:r>
        <w:t xml:space="preserve">Die sofortige Beschwerde des Antragstellers gegen den Beschluss</w:t>
      </w:r>
    </w:p>
    <w:p>
      <w:r>
        <w:t xml:space="preserve">des 1. Senats des Anwaltsgerichtshofes des Landes Nordrhein-</w:t>
      </w:r>
    </w:p>
    <w:p>
      <w:r>
        <w:t xml:space="preserve">Westfalen vom 19. November 2004 wird zurückgewiesen.</w:t>
      </w:r>
    </w:p>
    <w:p>
      <w:r>
        <w:t xml:space="preserve">Der Antragsteller hat die Kosten des Rechtsmittels zu tragen und</w:t>
      </w:r>
    </w:p>
    <w:p>
      <w:r>
        <w:t xml:space="preserve">der Antragsgegnerin die ihr im Beschwerdeverfahren entstande-</w:t>
      </w:r>
    </w:p>
    <w:p>
      <w:r>
        <w:t xml:space="preserve">nen notwendigen außergerichtlichen Auslagen zu erstatten.</w:t>
      </w:r>
    </w:p>
    <w:p>
      <w:r>
        <w:t xml:space="preserve">Der Geschäftswert</w:t>
      </w:r>
    </w:p>
    <w:p>
      <w:r>
        <w:t xml:space="preserve">für das Beschwerdeverfahren wird auf</w:t>
      </w:r>
    </w:p>
    <w:p>
      <w:r>
        <w:t xml:space="preserve">50.000 € festgesetzt.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1. Der Antragsteller ist seit 1962 zur Rechtsanwaltschaft zugelassen, zu-</w:t>
      </w:r>
    </w:p>
    <w:p>
      <w:r>
        <w:t xml:space="preserve">nächst beim Amtsgericht und beim Landgericht B. , seit 2003 auch beim</w:t>
      </w:r>
    </w:p>
    <w:p>
      <w:r>
        <w:t xml:space="preserve">Oberlandesgericht H. . Am 29. März 2004 hat die Antragsgegnerin die Zu-</w:t>
      </w:r>
    </w:p>
    <w:p>
      <w:r>
        <w:t xml:space="preserve">lassung des Antragstellers wegen Vermögensverfalls widerrufen. Den Antrag</w:t>
      </w:r>
    </w:p>
    <w:p>
      <w:r>
        <w:rPr>
          <w:b/>
        </w:rPr>
        <w:t xml:space="preserve">Rn. 3</w:t>
      </w:r>
    </w:p>
    <w:p>
      <w:r>
        <w:t xml:space="preserve">auf gerichtliche Entscheidung hat der Anwaltsgerichtshof zurückgewiesen. Ge-</w:t>
      </w:r>
    </w:p>
    <w:p>
      <w:r>
        <w:t xml:space="preserve">gen dessen Beschluss hat der Antragsteller sofortige Beschwerde eingelegt.</w:t>
      </w:r>
    </w:p>
    <w:p>
      <w:r>
        <w:t xml:space="preserve">2. Das Rechtsmittel ist zulässig (§ 42 Abs. 1 Nr. 3, Abs. 4 BRAO), bleibt</w:t>
      </w:r>
    </w:p>
    <w:p>
      <w:r>
        <w:t xml:space="preserve">jedoch in der Sache ohne Erfolg.</w:t>
      </w:r>
    </w:p>
    <w:p>
      <w:r>
        <w:t xml:space="preserve">a) Nach § 14 Abs. 2 Nr. 7 BRAO ist die Zulassung zur Rechtsanwalt-</w:t>
      </w:r>
    </w:p>
    <w:p>
      <w:r>
        <w:t xml:space="preserve">schaft zu widerrufen, wenn der Rechtsanwalt in Vermögensverfall geraten ist,</w:t>
      </w:r>
    </w:p>
    <w:p>
      <w:r>
        <w:t xml:space="preserve">es sei denn, dass dadurch die Interessen der Rechtsuchenden nicht gefährdet</w:t>
      </w:r>
    </w:p>
    <w:p>
      <w:r>
        <w:t xml:space="preserve">sind. Vermögensverfall ist gegeben, wenn der Rechtsanwalt in ungeordnete,</w:t>
      </w:r>
    </w:p>
    <w:p>
      <w:r>
        <w:t xml:space="preserve">schlechte finanzielle Verhältnisse, die er in absehbarer Zeit nicht ordnen kann,</w:t>
      </w:r>
    </w:p>
    <w:p>
      <w:r>
        <w:t xml:space="preserve">geraten und außerstande ist, seinen Verpflichtungen nachzukommen; Beweis-</w:t>
      </w:r>
    </w:p>
    <w:p>
      <w:r>
        <w:t xml:space="preserve">anzeichen hierfür sind insbesondere die Erwirkung von Schuldtiteln und Voll-</w:t>
      </w:r>
    </w:p>
    <w:p>
      <w:r>
        <w:t xml:space="preserve">streckungsmaßnahmen gegen ihn (st. Rspr.; vgl. Feuerich/Weyland, BRAO</w:t>
      </w:r>
    </w:p>
    <w:p>
      <w:r>
        <w:t xml:space="preserve">6. Aufl. § 7 Rdn. 142 m.w.N.). Diese Voraussetzungen waren zum maßgebli-</w:t>
      </w:r>
    </w:p>
    <w:p>
      <w:r>
        <w:t xml:space="preserve">chen Zeitpunkt des Widerrufsbescheides erfüllt. Dies ergab sich vor dem Hin-</w:t>
      </w:r>
    </w:p>
    <w:p>
      <w:r>
        <w:t xml:space="preserve">tergrund zahlreicher, auch gerichtlich gegen den Antragsteller geltend gemach-</w:t>
      </w:r>
    </w:p>
    <w:p>
      <w:r>
        <w:t xml:space="preserve">ter Zahlungs- und Auskunftsverlangen aus vier seit 1999 bis 2004 erfolgten</w:t>
      </w:r>
    </w:p>
    <w:p>
      <w:r>
        <w:t xml:space="preserve">Forderungspfändungen über insgesamt mehr als 5.800 € und insbesondere aus</w:t>
      </w:r>
    </w:p>
    <w:p>
      <w:r>
        <w:t xml:space="preserve">einer Zwangsvollstreckung durch das Finanzamt wegen Steuerforderungen in</w:t>
      </w:r>
    </w:p>
    <w:p>
      <w:r>
        <w:t xml:space="preserve">Höhe von über 23.000 €.</w:t>
      </w:r>
    </w:p>
    <w:p>
      <w:r>
        <w:rPr>
          <w:b/>
        </w:rPr>
        <w:t xml:space="preserve">Rn. 4</w:t>
      </w:r>
    </w:p>
    <w:p>
      <w:r>
        <w:t xml:space="preserve">b) Der Antragsteller hat nicht hinreichend dargetan, dass sich seine Ver-</w:t>
      </w:r>
    </w:p>
    <w:p>
      <w:r>
        <w:t xml:space="preserve">mögensverhältnisse nunmehr konsolidiert hätten, so dass von einem Widerruf</w:t>
      </w:r>
    </w:p>
    <w:p>
      <w:r>
        <w:t xml:space="preserve">abgesehen werden könnte (vgl. BGHZ 75, 356; 84, 149). Das Erfordernis der</w:t>
      </w:r>
    </w:p>
    <w:p>
      <w:r>
        <w:t xml:space="preserve">hierfür unerlässlichen umfassenden Darstellung seiner Vermögensverhältnisse</w:t>
      </w:r>
    </w:p>
    <w:p>
      <w:r>
        <w:t xml:space="preserve">(vgl. Feuerich/Weyland aaO § 14 Rdn. 59 m.w.N.) hat er kaum ansatzweise,</w:t>
      </w:r>
    </w:p>
    <w:p>
      <w:r>
        <w:t xml:space="preserve">jedenfalls nicht vollständig erfüllt. Zwar ist im August 2004 durch das Finanzamt</w:t>
      </w:r>
    </w:p>
    <w:p>
      <w:r>
        <w:t xml:space="preserve">eine Steuererstattung in Höhe von über 13.700 € erfolgt und mittlerweile die</w:t>
      </w:r>
    </w:p>
    <w:p>
      <w:r>
        <w:t xml:space="preserve">Erfüllung einer der Widerrufsverfügung zugrunde gelegten Forderung von über</w:t>
      </w:r>
    </w:p>
    <w:p>
      <w:r>
        <w:t xml:space="preserve">4.300 € (Forderung O. ) anderweit durch Mitteilung des Gerichtsvoll-</w:t>
      </w:r>
    </w:p>
    <w:p>
      <w:r>
        <w:t xml:space="preserve">ziehers bekannt geworden. Jedoch sind bis Mai 2006 neue Steuerschulden in</w:t>
      </w:r>
    </w:p>
    <w:p>
      <w:r>
        <w:t xml:space="preserve">Höhe von 54.000 € entstanden und seit Juli 2006 sechs Haftbefehle im Schuld-</w:t>
      </w:r>
    </w:p>
    <w:p>
      <w:r>
        <w:t xml:space="preserve">nerverzeichnis eingetragen worden, unter anderem wegen dreier Forderungen</w:t>
      </w:r>
    </w:p>
    <w:p>
      <w:r>
        <w:t xml:space="preserve">der Oberjustizkasse H. in einer Gesamthöhe von über 2.790 € sowie der</w:t>
      </w:r>
    </w:p>
    <w:p>
      <w:r>
        <w:t xml:space="preserve">Forderungen G. (über 1.200 €) und K. (über 2.400 €). Auch</w:t>
      </w:r>
    </w:p>
    <w:p>
      <w:r>
        <w:t xml:space="preserve">mehrfache Fristsetzungen, zuletzt bis Mitte Dezember 2006, haben nicht dazu</w:t>
      </w:r>
    </w:p>
    <w:p>
      <w:r>
        <w:t xml:space="preserve">geführt,</w:t>
      </w:r>
    </w:p>
    <w:p>
      <w:r>
        <w:t xml:space="preserve">dass</w:t>
      </w:r>
    </w:p>
    <w:p>
      <w:r>
        <w:t xml:space="preserve">angekündigte</w:t>
      </w:r>
    </w:p>
    <w:p>
      <w:r>
        <w:t xml:space="preserve">Nachweise</w:t>
      </w:r>
    </w:p>
    <w:p>
      <w:r>
        <w:t xml:space="preserve">vorgelegt</w:t>
      </w:r>
    </w:p>
    <w:p>
      <w:r>
        <w:t xml:space="preserve">und</w:t>
      </w:r>
    </w:p>
    <w:p>
      <w:r>
        <w:t xml:space="preserve">die</w:t>
      </w:r>
    </w:p>
    <w:p>
      <w:r>
        <w:t xml:space="preserve">aktuelle Vermögenssituation umfassend belegt worden sind. Insgesamt verfes-</w:t>
      </w:r>
    </w:p>
    <w:p>
      <w:r>
        <w:t xml:space="preserve">tigt sich nach alledem auch der Eindruck, dass der Antragsteller den für eine</w:t>
      </w:r>
    </w:p>
    <w:p>
      <w:r>
        <w:t xml:space="preserve">hinreichend zuverlässige Berufsausübung unerlässlichen Überblick über seine</w:t>
      </w:r>
    </w:p>
    <w:p>
      <w:r>
        <w:t xml:space="preserve">finanziellen Verhältnisse nicht mehr besitzt.</w:t>
      </w:r>
    </w:p>
    <w:p>
      <w:r>
        <w:rPr>
          <w:b/>
        </w:rPr>
        <w:t xml:space="preserve">Rn. 5</w:t>
      </w:r>
    </w:p>
    <w:p>
      <w:r>
        <w:t xml:space="preserve">c) Bei dieser Sachlage ist für einen Ausnahmefall, in dem die Interessen</w:t>
      </w:r>
    </w:p>
    <w:p>
      <w:r>
        <w:t xml:space="preserve">der Rechtsuchenden ungeachtet des Vermögensverfalls nicht gefährdet wären,</w:t>
      </w:r>
    </w:p>
    <w:p>
      <w:r>
        <w:t xml:space="preserve">nichts ersichtlich.</w:t>
      </w:r>
    </w:p>
    <w:p>
      <w:r>
        <w:t xml:space="preserve">Hirsch Ernemann Schmidt-Räntsch Schaal</w:t>
      </w:r>
    </w:p>
    <w:p>
      <w:r>
        <w:t xml:space="preserve">Wüllrich Frey Stüer</w:t>
      </w:r>
    </w:p>
    <w:p>
      <w:r>
        <w:t xml:space="preserve">Vorinstanz:</w:t>
      </w:r>
    </w:p>
    <w:p>
      <w:r>
        <w:t xml:space="preserve">AGH Hamm, Entscheidung vom 19.11.2004 - 1 ZU 35/04 -</w:t>
      </w:r>
    </w:p>
    <w:p>
      <w:r>
        <w:rPr>
          <w:color w:val="555555"/>
          <w:sz w:val="17"/>
        </w:rPr>
        <w:t xml:space="preserve">Zitiervorschlag: BGH, Beschluss vom 16.04.2007 – AnwZ (B) 39/05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https://recht.nulegal.eu/rechtsprechung/bgh/2007-04-16/anwz-b-39-05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