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21.03.2007 – 2 StR 7/07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StR 7/07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März 2007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Vergewaltigung u. a.</w:t>
      </w:r>
    </w:p>
    <w:p>
      <w:r>
        <w:t xml:space="preserve">Der 2. Strafsenat des Bundesgerichtshofs hat auf Antrag des Generalbundes-</w:t>
      </w:r>
    </w:p>
    <w:p>
      <w:r>
        <w:t xml:space="preserve">anwalts und nach Anhörung des Beschwerdeführers am 21. März 2007 gemäß</w:t>
      </w:r>
    </w:p>
    <w:p>
      <w:r>
        <w:t xml:space="preserve">§§ 349 Abs. 2 und 4, 354 Abs. 1 b StPO beschlossen:</w:t>
      </w:r>
    </w:p>
    <w:p>
      <w:r>
        <w:t xml:space="preserve">1. Auf die Revision des Angeklagten wird das Urteil des Landge-</w:t>
      </w:r>
    </w:p>
    <w:p>
      <w:r>
        <w:t xml:space="preserve">richts Bonn vom 10. Mai 2006 im Ausspruch über die Gesamt-</w:t>
      </w:r>
    </w:p>
    <w:p>
      <w:r>
        <w:t xml:space="preserve">freiheitsstrafe von drei Jahren und drei Monaten mit der Maß-</w:t>
      </w:r>
    </w:p>
    <w:p>
      <w:r>
        <w:t xml:space="preserve">gabe aufgehoben, dass eine nachträgliche gerichtliche Ent-</w:t>
      </w:r>
    </w:p>
    <w:p>
      <w:r>
        <w:t xml:space="preserve">scheidung über diese Gesamtfreiheitsstrafe nach den §§ 460,</w:t>
      </w:r>
    </w:p>
    <w:p>
      <w:r>
        <w:t xml:space="preserve">462 StPO zu treffen ist.</w:t>
      </w:r>
    </w:p>
    <w:p>
      <w:r>
        <w:t xml:space="preserve">2. Die weitergehende Revision wird verworfen.</w:t>
      </w:r>
    </w:p>
    <w:p>
      <w:r>
        <w:t xml:space="preserve">3. Der Beschwerdeführer hat die Kosten seines Rechtsmittels und</w:t>
      </w:r>
    </w:p>
    <w:p>
      <w:r>
        <w:t xml:space="preserve">die den Nebenklägerinnen im Revisionsverfahren entstandenen</w:t>
      </w:r>
    </w:p>
    <w:p>
      <w:r>
        <w:t xml:space="preserve">notwendigen Auslagen zu tragen.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Das Landgericht hat den Angeklagten wegen Körperverletzung zu einer</w:t>
      </w:r>
    </w:p>
    <w:p>
      <w:r>
        <w:t xml:space="preserve">Freiheitsstrafe von drei Monaten, wegen schweren Menschenhandels in Tat-</w:t>
      </w:r>
    </w:p>
    <w:p>
      <w:r>
        <w:t xml:space="preserve">einheit mit Menschenhandel und Zuhälterei sowie wegen Vergewaltigung unter</w:t>
      </w:r>
    </w:p>
    <w:p>
      <w:r>
        <w:t xml:space="preserve">Einbeziehung der Strafe aus dem Urteil des Amtsgerichts Siegburg vom</w:t>
      </w:r>
    </w:p>
    <w:p>
      <w:r>
        <w:t xml:space="preserve">18. Juni 2004 zu einer Gesamtfreiheitsstrafe von drei Jahren und drei Monaten</w:t>
      </w:r>
    </w:p>
    <w:p>
      <w:r>
        <w:t xml:space="preserve">und wegen mehrerer nach dem 18. Juni 2004 begangenen Taten zu einer wei-</w:t>
      </w:r>
    </w:p>
    <w:p>
      <w:r>
        <w:t xml:space="preserve">teren Gesamtfreiheitsstrafe von drei Jahren und neun Monaten verurteilt. Dar-</w:t>
      </w:r>
    </w:p>
    <w:p>
      <w:r>
        <w:t xml:space="preserve">über hinaus hat es gegen den Angeklagten die Sicherungsverwahrung ange-</w:t>
      </w:r>
    </w:p>
    <w:p>
      <w:r>
        <w:t xml:space="preserve">ordnet und diesen zur Zahlung von Schmerzensgeld an eine Nebenklägerin</w:t>
      </w:r>
    </w:p>
    <w:p>
      <w:r>
        <w:t xml:space="preserve">verurteilt.</w:t>
      </w:r>
    </w:p>
    <w:p>
      <w:r>
        <w:rPr>
          <w:b/>
        </w:rPr>
        <w:t xml:space="preserve">Rn. 2</w:t>
      </w:r>
    </w:p>
    <w:p>
      <w:r>
        <w:t xml:space="preserve">Die Revision des Angeklagten, mit der er die Verletzung formellen und</w:t>
      </w:r>
    </w:p>
    <w:p>
      <w:r>
        <w:t xml:space="preserve">materiellen Rechts rügt, ist aus den Gründen der Antragsschrift des General-</w:t>
      </w:r>
    </w:p>
    <w:p>
      <w:r>
        <w:t xml:space="preserve">bundesanwalts vom 25. Januar 2007 unbegründet im Sinne des § 349 Abs. 2</w:t>
      </w:r>
    </w:p>
    <w:p>
      <w:r>
        <w:t xml:space="preserve">StPO, soweit sie sich gegen den Schuldspruch und - mit Ausnahme der Ver-</w:t>
      </w:r>
    </w:p>
    <w:p>
      <w:r>
        <w:t xml:space="preserve">hängung einer Gesamtfreiheitsstrafe von drei Jahren und drei Monaten - gegen</w:t>
      </w:r>
    </w:p>
    <w:p>
      <w:r>
        <w:t xml:space="preserve">den Rechtsfolgenausspruch richtet.</w:t>
      </w:r>
    </w:p>
    <w:p>
      <w:r>
        <w:rPr>
          <w:b/>
        </w:rPr>
        <w:t xml:space="preserve">Rn. 3</w:t>
      </w:r>
    </w:p>
    <w:p>
      <w:r>
        <w:t xml:space="preserve">Nur der vorgenannte Gesamtstrafenausspruch kann aus Rechtsgründen</w:t>
      </w:r>
    </w:p>
    <w:p>
      <w:r>
        <w:t xml:space="preserve">keinen Bestand haben. Das Landgericht hat es - wie es im Nachhinein selbst</w:t>
      </w:r>
    </w:p>
    <w:p>
      <w:r>
        <w:t xml:space="preserve">erkannt hat (UA S. 56) - versäumt, bei der Bildung der Gesamtstrafe von drei</w:t>
      </w:r>
    </w:p>
    <w:p>
      <w:r>
        <w:t xml:space="preserve">Jahren und drei Monaten hinsichtlich der vom Angeklagten bis zum 18. Juni</w:t>
      </w:r>
    </w:p>
    <w:p>
      <w:r>
        <w:t xml:space="preserve">2004 begangenen Straftaten die für die Körperverletzung vom 11. Februar 2002</w:t>
      </w:r>
    </w:p>
    <w:p>
      <w:r>
        <w:t xml:space="preserve">verhängte Freiheitsstrafe von drei Monaten zu berücksichtigen. Insoweit bedarf</w:t>
      </w:r>
    </w:p>
    <w:p>
      <w:r>
        <w:t xml:space="preserve">es einer neuen Gesamtstrafenbildung.</w:t>
      </w:r>
    </w:p>
    <w:p>
      <w:r>
        <w:t xml:space="preserve">Der Senat macht von der Möglichkeit Gebrauch, nach § 354 Abs. 1 b</w:t>
      </w:r>
    </w:p>
    <w:p>
      <w:r>
        <w:t xml:space="preserve">StPO zu entscheiden. Die nachträgliche Gesamtstrafenbildung obliegt somit</w:t>
      </w:r>
    </w:p>
    <w:p>
      <w:r>
        <w:t xml:space="preserve">dem nach § 462 a Abs. 3 StPO zuständigen Gericht.</w:t>
      </w:r>
    </w:p>
    <w:p>
      <w:r>
        <w:t xml:space="preserve">Der Angeklagte hat die Kosten seines Rechtsmittels zu tragen. Die Kos-</w:t>
      </w:r>
    </w:p>
    <w:p>
      <w:r>
        <w:t xml:space="preserve">tenentscheidung war nicht dem Nachverfahren gemäß §§ 460, 462 StPO vor-</w:t>
      </w:r>
    </w:p>
    <w:p>
      <w:r>
        <w:t xml:space="preserve">zubehalten, weil sicher abzusehen ist, dass das Rechtsmittel des Angeklagten,</w:t>
      </w:r>
    </w:p>
    <w:p>
      <w:r>
        <w:rPr>
          <w:b/>
        </w:rPr>
        <w:t xml:space="preserve">Rn. 5</w:t>
      </w:r>
    </w:p>
    <w:p>
      <w:r>
        <w:t xml:space="preserve">der seine Verurteilung insgesamt angefochten hat, nur einen geringfügigen</w:t>
      </w:r>
    </w:p>
    <w:p>
      <w:r>
        <w:t xml:space="preserve">Teilerfolg haben kann, so dass der Senat die Kostenentscheidung gemäß § 473</w:t>
      </w:r>
    </w:p>
    <w:p>
      <w:r>
        <w:t xml:space="preserve">Abs. 1 und 4 StPO selbst treffen kann (vgl. BGH NStZ 2005, 163).</w:t>
      </w:r>
    </w:p>
    <w:p>
      <w:r>
        <w:t xml:space="preserve">Rissing-van Saan Bode Rothfuß</w:t>
      </w:r>
    </w:p>
    <w:p>
      <w:r>
        <w:t xml:space="preserve">Fischer Appl</w:t>
      </w:r>
    </w:p>
    <w:p>
      <w:r>
        <w:rPr>
          <w:color w:val="555555"/>
          <w:sz w:val="17"/>
        </w:rPr>
        <w:t xml:space="preserve">Zitiervorschlag: BGH, Beschluss vom 21.03.2007 – 2 StR 7/07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https://recht.nulegal.eu/rechtsprechung/bgh/2007-03-21/2-str-7-07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