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BGH, Beschluss vom 27.02.2007 – 1 StR 8/07</w:t>
      </w:r>
    </w:p>
    <w:p>
      <w:r>
        <w:rPr>
          <w:color w:val="555555"/>
          <w:sz w:val="18"/>
        </w:rPr>
        <w:t xml:space="preserve">1. Strafsenat</w:t>
      </w:r>
    </w:p>
    <w:p>
      <w:r>
        <w:t xml:space="preserve">BUNDESGERICHTSHOF</w:t>
      </w:r>
    </w:p>
    <w:p>
      <w:r>
        <w:t xml:space="preserve">1 StR 8/07</w:t>
      </w:r>
    </w:p>
    <w:p>
      <w:pPr>
        <w:pStyle w:val="Heading2"/>
      </w:pPr>
      <w:r>
        <w:t xml:space="preserve">BESCHLUSS</w:t>
      </w:r>
    </w:p>
    <w:p>
      <w:r>
        <w:t xml:space="preserve">vom</w:t>
      </w:r>
    </w:p>
    <w:p>
      <w:r>
        <w:t xml:space="preserve">27. Februar 2007</w:t>
      </w:r>
    </w:p>
    <w:p>
      <w:r>
        <w:t xml:space="preserve">in der Strafsache</w:t>
      </w:r>
    </w:p>
    <w:p>
      <w:r>
        <w:t xml:space="preserve">gegen</w:t>
      </w:r>
    </w:p>
    <w:p>
      <w:r>
        <w:t xml:space="preserve">wegen Bestechlichkeit u.a.</w:t>
      </w:r>
    </w:p>
    <w:p>
      <w:r>
        <w:t xml:space="preserve">Der 1. Strafsenat des Bundesgerichtshofs hat am 27. Februar 2007 beschlos-</w:t>
      </w:r>
    </w:p>
    <w:p>
      <w:r>
        <w:t xml:space="preserve">sen:</w:t>
      </w:r>
    </w:p>
    <w:p>
      <w:r>
        <w:t xml:space="preserve">Der Antrag des Verurteilten, das Verfahren wegen Verletzung sei-</w:t>
      </w:r>
    </w:p>
    <w:p>
      <w:r>
        <w:t xml:space="preserve">nes Anspruchs auf rechtliches Gehör in die Lage vor Erlass der</w:t>
      </w:r>
    </w:p>
    <w:p>
      <w:r>
        <w:t xml:space="preserve">Senatsentscheidung vom 14. Februar 2007 zurückzuversetzen,</w:t>
      </w:r>
    </w:p>
    <w:p>
      <w:r>
        <w:t xml:space="preserve">wird auf seine Kosten zurückgewiesen.</w:t>
      </w:r>
    </w:p>
    <w:p>
      <w:pPr>
        <w:pStyle w:val="Heading2"/>
      </w:pPr>
      <w:r>
        <w:t xml:space="preserve">Gründe</w:t>
      </w:r>
    </w:p>
    <w:p>
      <w:r>
        <w:rPr>
          <w:b/>
        </w:rPr>
        <w:t xml:space="preserve">Rn. 1</w:t>
      </w:r>
    </w:p>
    <w:p>
      <w:r>
        <w:t xml:space="preserve">Der Senat hat die Revision des Angeklagten gegen das Urteil des Land-</w:t>
      </w:r>
    </w:p>
    <w:p>
      <w:r>
        <w:t xml:space="preserve">gerichts München I vom 24. Mai 2006 mit Beschluss vom 14. Februar 2007</w:t>
      </w:r>
    </w:p>
    <w:p>
      <w:r>
        <w:t xml:space="preserve">gemäß § 349 Abs. 2 StPO als unbegründet verworfen. Der darauf gerichtete</w:t>
      </w:r>
    </w:p>
    <w:p>
      <w:r>
        <w:t xml:space="preserve">Antrag des Generalbundesanwalts war dem Verteidiger des Angeklagten,</w:t>
      </w:r>
    </w:p>
    <w:p>
      <w:r>
        <w:t xml:space="preserve">Rechtsanwalt F. , am 26. Januar 2007 zugestellt worden. Mit einem beim</w:t>
      </w:r>
    </w:p>
    <w:p>
      <w:r>
        <w:t xml:space="preserve">Bundesgerichtshof am 22. Februar 2007 eingegangenen Schriftsatz hat</w:t>
      </w:r>
    </w:p>
    <w:p>
      <w:r>
        <w:t xml:space="preserve">Rechtsanwalt F. eine Anhörungsrüge nach § 356a StPO erhoben und trägt</w:t>
      </w:r>
    </w:p>
    <w:p>
      <w:r>
        <w:t xml:space="preserve">hierzu vor: Die Gegenäußerungsfrist des § 349 Abs. 3 Satz 2 StPO sei zwar</w:t>
      </w:r>
    </w:p>
    <w:p>
      <w:r>
        <w:t xml:space="preserve">gewahrt, das Gebot des fairen Verfahrens erfordere es hier jedoch - insbeson-</w:t>
      </w:r>
    </w:p>
    <w:p>
      <w:r>
        <w:t xml:space="preserve">dere angesichts der zugrunde liegenden Problematik der Amtsträgereigenschaft</w:t>
      </w:r>
    </w:p>
    <w:p>
      <w:r>
        <w:t xml:space="preserve">-, der Verteidigung eine längere Frist zur Abgabe einer Gegenerklärung zu ge-</w:t>
      </w:r>
    </w:p>
    <w:p>
      <w:r>
        <w:t xml:space="preserve">währen, zumal der Generalbundesanwalt seit der Ausführung der Sachrüge</w:t>
      </w:r>
    </w:p>
    <w:p>
      <w:r>
        <w:t xml:space="preserve">zwei Monate zur Bearbeitung zur Verfügung gehabt habe.</w:t>
      </w:r>
    </w:p>
    <w:p>
      <w:r>
        <w:rPr>
          <w:b/>
        </w:rPr>
        <w:t xml:space="preserve">Rn. 2</w:t>
      </w:r>
    </w:p>
    <w:p>
      <w:r>
        <w:t xml:space="preserve">Die Rüge ist unbegründet. Ein Fall des § 356a StPO liegt nicht vor. Der</w:t>
      </w:r>
    </w:p>
    <w:p>
      <w:r>
        <w:t xml:space="preserve">Verteidiger hatte, nachdem ihm der Antrag des Generalbundesanwalts am</w:t>
      </w:r>
    </w:p>
    <w:p>
      <w:r>
        <w:t xml:space="preserve">26. Januar 2007 zugestellt worden war, von Gesetzes wegen bis zum 9. Febru-</w:t>
      </w:r>
    </w:p>
    <w:p>
      <w:r>
        <w:t xml:space="preserve">ar 2007 Gelegenheit, hierzu Stellung zu nehmen (§ 349 Abs. 3 Satz 2 StPO).</w:t>
      </w:r>
    </w:p>
    <w:p>
      <w:r>
        <w:t xml:space="preserve">Der Senat war deshalb nicht gehindert, am 14. Februar 2007 - auch bis zu die-</w:t>
      </w:r>
    </w:p>
    <w:p>
      <w:r>
        <w:t xml:space="preserve">sem Zeitpunkt hatte sich Rechtsanwalt F. nicht mehr geäußert - über die</w:t>
      </w:r>
    </w:p>
    <w:p>
      <w:r>
        <w:t xml:space="preserve">Revision zu entscheiden. Die Frist des § 349 Abs. 3 Satz 2 StPO kann nicht</w:t>
      </w:r>
    </w:p>
    <w:p>
      <w:r>
        <w:t xml:space="preserve">verlängert werden (Senat, Beschluss vom 6. Dezember 2006 - 1 StR 532/06;</w:t>
      </w:r>
    </w:p>
    <w:p>
      <w:r>
        <w:t xml:space="preserve">Meyer-Goßner, StPO 49. Aufl. § 349 Rdn. 17). Es entspricht der - verfassungs-</w:t>
      </w:r>
    </w:p>
    <w:p>
      <w:r>
        <w:t xml:space="preserve">rechtlich gebotenen (vgl. BVerfG NJW 2006, 668, 669; 672, 673; 1336, 1337 f.)</w:t>
      </w:r>
    </w:p>
    <w:p>
      <w:r>
        <w:t xml:space="preserve">- Praxis des Senats, baldmöglichst nach Ablauf der Frist des § 349 Abs. 3 Satz</w:t>
      </w:r>
    </w:p>
    <w:p>
      <w:r>
        <w:t xml:space="preserve">2 StPO zu entscheiden. Dies muss ein Strafverteidiger wissen und, wenn er</w:t>
      </w:r>
    </w:p>
    <w:p>
      <w:r>
        <w:t xml:space="preserve">größeren Arbeitsaufwand für eine Gegenäußerung sieht, sich entsprechend</w:t>
      </w:r>
    </w:p>
    <w:p>
      <w:r>
        <w:t xml:space="preserve">einrichten.</w:t>
      </w:r>
    </w:p>
    <w:p>
      <w:r>
        <w:rPr>
          <w:b/>
        </w:rPr>
        <w:t xml:space="preserve">Rn. 3</w:t>
      </w:r>
    </w:p>
    <w:p>
      <w:r>
        <w:t xml:space="preserve">Die Kostenentscheidung folgt aus einer entsprechenden Anwendung des</w:t>
      </w:r>
    </w:p>
    <w:p>
      <w:r>
        <w:t xml:space="preserve">§ 465 Abs. 1 StPO (vgl. Senat aaO m.w.N.).</w:t>
      </w:r>
    </w:p>
    <w:p>
      <w:r>
        <w:t xml:space="preserve">Nack Wahl Boetticher</w:t>
      </w:r>
    </w:p>
    <w:p>
      <w:r>
        <w:t xml:space="preserve">Kolz Elf</w:t>
      </w:r>
    </w:p>
    <w:p>
      <w:r>
        <w:rPr>
          <w:color w:val="555555"/>
          <w:sz w:val="17"/>
        </w:rPr>
        <w:t xml:space="preserve">Zitiervorschlag: BGH, Beschluss vom 27.02.2007 – 1 StR 8/07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Dieses Dokument: https://recht.nulegal.eu/rechtsprechung/bgh/2007-02-27/1-str-8-07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