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22.02.2007 – 4 StR 49/07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r>
        <w:t xml:space="preserve">4 StR 49/07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22. Februar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unerlaubten Handeltreibens mit Betäubungsmitteln in nicht geringer Menge</w:t>
      </w:r>
    </w:p>
    <w:p>
      <w:r>
        <w:t xml:space="preserve">Der 4. Strafsenat des Bundesgerichtshofs hat nach Anhörung des Generalbun-</w:t>
      </w:r>
    </w:p>
    <w:p>
      <w:r>
        <w:t xml:space="preserve">desanwalts und des Beschwerdeführers am 22. Februar 2007 gemäß § 349</w:t>
      </w:r>
    </w:p>
    <w:p>
      <w:r>
        <w:t xml:space="preserve">Abs. 2 und 4 StPO beschlossen:</w:t>
      </w:r>
    </w:p>
    <w:p>
      <w:r>
        <w:t xml:space="preserve">1. Auf die Revision des Angeklagten wird das Urteil des</w:t>
      </w:r>
    </w:p>
    <w:p>
      <w:r>
        <w:t xml:space="preserve">Landgerichts Bielefeld vom 28. September 2006 - mit</w:t>
      </w:r>
    </w:p>
    <w:p>
      <w:r>
        <w:t xml:space="preserve">Ausnahme der Feststellungen, die bestehen bleiben -</w:t>
      </w:r>
    </w:p>
    <w:p>
      <w:r>
        <w:t xml:space="preserve">aufgehoben.</w:t>
      </w:r>
    </w:p>
    <w:p>
      <w:r>
        <w:t xml:space="preserve">2.</w:t>
      </w:r>
    </w:p>
    <w:p>
      <w:r>
        <w:t xml:space="preserve">Im Umfang der Aufhebung wird die Sache zu neuer Ver-</w:t>
      </w:r>
    </w:p>
    <w:p>
      <w:r>
        <w:t xml:space="preserve">handlung und Entscheidung, auch über die Kosten des</w:t>
      </w:r>
    </w:p>
    <w:p>
      <w:r>
        <w:t xml:space="preserve">Rechtsmittels, an eine andere Strafkammer des Landge-</w:t>
      </w:r>
    </w:p>
    <w:p>
      <w:r>
        <w:t xml:space="preserve">richts zurückverwiesen.</w:t>
      </w:r>
    </w:p>
    <w:p>
      <w:r>
        <w:t xml:space="preserve">3. Die weiter gehende Revision wird verworfen.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des "gemeinschaftlichen" uner-</w:t>
      </w:r>
    </w:p>
    <w:p>
      <w:r>
        <w:t xml:space="preserve">laubten Handeltreibens mit Betäubungsmitteln in nicht geringer Menge für</w:t>
      </w:r>
    </w:p>
    <w:p>
      <w:r>
        <w:t xml:space="preserve">schuldig befunden und aus der dafür erkannten Einzelstrafe von zwei Jahren</w:t>
      </w:r>
    </w:p>
    <w:p>
      <w:r>
        <w:t xml:space="preserve">Freiheitsstrafe im Wege nachträglicher Gesamtstrafenbildung unter Einbezie-</w:t>
      </w:r>
    </w:p>
    <w:p>
      <w:r>
        <w:t xml:space="preserve">hung der siebenmonatigen Freiheitsstrafe aus dem Urteil des Amtsgerichts Bie-</w:t>
      </w:r>
    </w:p>
    <w:p>
      <w:r>
        <w:t xml:space="preserve">lefeld vom 23. August 2005 eine Gesamtfreiheitsstrafe von zwei Jahren und vier</w:t>
      </w:r>
    </w:p>
    <w:p>
      <w:r>
        <w:t xml:space="preserve">Monaten gebildet. Hiergegen wendet sich der Angeklagte mit seiner Revision,</w:t>
      </w:r>
    </w:p>
    <w:p>
      <w:r>
        <w:t xml:space="preserve">mit der er die Verletzung sachlichen Rechts rügt. Das Rechtsmittel hat zum</w:t>
      </w:r>
    </w:p>
    <w:p>
      <w:r>
        <w:t xml:space="preserve">Schuld- und Strafausspruch Erfolg; im Übrigen ist es unbegründet im Sinne des</w:t>
      </w:r>
    </w:p>
    <w:p>
      <w:r>
        <w:t xml:space="preserve">§ 349 Abs. 2 StPO.</w:t>
      </w:r>
    </w:p>
    <w:p>
      <w:r>
        <w:rPr>
          <w:b/>
        </w:rPr>
        <w:t xml:space="preserve">Rn. 2</w:t>
      </w:r>
    </w:p>
    <w:p>
      <w:r>
        <w:t xml:space="preserve">1. Der Schuldspruch kann nicht bestehen bleiben. Zu Recht beanstandet</w:t>
      </w:r>
    </w:p>
    <w:p>
      <w:r>
        <w:t xml:space="preserve">die Revision, dass das Landgericht seine Auffassung, der Angeklagte sei bei</w:t>
      </w:r>
    </w:p>
    <w:p>
      <w:r>
        <w:t xml:space="preserve">dem (letztlich gescheiterten) Kokaintransport von Brasilien nach Europa als</w:t>
      </w:r>
    </w:p>
    <w:p>
      <w:r>
        <w:t xml:space="preserve">(Mit-)Täter des von Susan L. und niederländischen Hintermännern organisierten</w:t>
      </w:r>
    </w:p>
    <w:p>
      <w:r>
        <w:t xml:space="preserve">Rauschgifthandels beteiligt gewesen, nicht begründet hat. Dessen hätte es aber</w:t>
      </w:r>
    </w:p>
    <w:p>
      <w:r>
        <w:t xml:space="preserve">schon deshalb bedurft, weil nach der neueren Rechtsprechung des Bundesge-</w:t>
      </w:r>
    </w:p>
    <w:p>
      <w:r>
        <w:t xml:space="preserve">richtshofs bei Rauschgiftkurieren, die - wie vorliegend das Landgericht im Rah-</w:t>
      </w:r>
    </w:p>
    <w:p>
      <w:r>
        <w:t xml:space="preserve">men der Strafzumessung selbst angenommen hat (UA 19) - lediglich eine un-</w:t>
      </w:r>
    </w:p>
    <w:p>
      <w:r>
        <w:t xml:space="preserve">tergeordnete Rolle spielen, grundsätzlich nur von Beihilfe zum unerlaubten</w:t>
      </w:r>
    </w:p>
    <w:p>
      <w:r>
        <w:t xml:space="preserve">Handeltreiben mit Betäubungsmitteln auszugehen ist (vgl. BGHSt - GS - 50,</w:t>
      </w:r>
    </w:p>
    <w:p>
      <w:r>
        <w:t xml:space="preserve">252, 266; BGH, Beschluss vom 17. Januar 2007 - 2 StR 568/06 m.w.N.). Das</w:t>
      </w:r>
    </w:p>
    <w:p>
      <w:r>
        <w:t xml:space="preserve">gilt zumal dann, wenn der Kurier - wie hier - mit dem An- und Verkauf des</w:t>
      </w:r>
    </w:p>
    <w:p>
      <w:r>
        <w:t xml:space="preserve">Rauschgifts nichts zu tun und auch keinerlei Einfluss auf die Bestimmung von</w:t>
      </w:r>
    </w:p>
    <w:p>
      <w:r>
        <w:t xml:space="preserve">Art und Menge des zu transportierenden Rauschgifts hat und ihm auch die Ges-</w:t>
      </w:r>
    </w:p>
    <w:p>
      <w:r>
        <w:t xml:space="preserve">taltung des Transports vorgegeben wird (vgl. BGH, Beschlüsse vom 2. Juni</w:t>
      </w:r>
    </w:p>
    <w:p>
      <w:r>
        <w:t xml:space="preserve">2006 - 2 StR 150/06 - und vom 25. Oktober 2006 - 2 StR 359/06). Die Abgren-</w:t>
      </w:r>
    </w:p>
    <w:p>
      <w:r>
        <w:t xml:space="preserve">zung von Beihilfe und (Mit-)Täterschaft vorzunehmen war vorliegend auch nicht</w:t>
      </w:r>
    </w:p>
    <w:p>
      <w:r>
        <w:t xml:space="preserve">deshalb entbehrlich, weil der Angeklagte in Brasilien nach Empfang des</w:t>
      </w:r>
    </w:p>
    <w:p>
      <w:r>
        <w:t xml:space="preserve">Rauschgifts seine Begleiterin veranlasste, den Transport durchzuführen, weil er</w:t>
      </w:r>
    </w:p>
    <w:p>
      <w:r>
        <w:t xml:space="preserve">selbst das Risiko scheute. Ob er dadurch statt seiner bis dahin lediglich unter-</w:t>
      </w:r>
    </w:p>
    <w:p>
      <w:r>
        <w:t xml:space="preserve">geordneten Rolle die Tatherrschaft in Bezug auf den Handel mit der zum</w:t>
      </w:r>
    </w:p>
    <w:p>
      <w:r>
        <w:t xml:space="preserve">Transport bestimmten Kokainmenge erlangte, ist eine Tatfrage, über die grund-</w:t>
      </w:r>
    </w:p>
    <w:p>
      <w:r>
        <w:t xml:space="preserve">sätzlich der Tatrichter</w:t>
      </w:r>
    </w:p>
    <w:p>
      <w:r>
        <w:t xml:space="preserve">zu entscheiden hat. Gegen die Wertung</w:t>
      </w:r>
    </w:p>
    <w:p>
      <w:r>
        <w:t xml:space="preserve">(mit-)täterschaftlicher Beteiligung kann hier zumal sprechen, dass der Ange-</w:t>
      </w:r>
    </w:p>
    <w:p>
      <w:r>
        <w:t xml:space="preserve">klagte in Brasilien in telefonischem Kontakt mit Susan L. stand, "die ihm im Ein-</w:t>
      </w:r>
    </w:p>
    <w:p>
      <w:r>
        <w:t xml:space="preserve">zelnen mitteilte, was er zu tun hatte" (UA 9), und er sie dementsprechend auch</w:t>
      </w:r>
    </w:p>
    <w:p>
      <w:r>
        <w:t xml:space="preserve">davon unterrichtete, dass er den Transport nicht selbst durchführen werde.</w:t>
      </w:r>
    </w:p>
    <w:p>
      <w:r>
        <w:rPr>
          <w:b/>
        </w:rPr>
        <w:t xml:space="preserve">Rn. 4</w:t>
      </w:r>
    </w:p>
    <w:p>
      <w:r>
        <w:t xml:space="preserve">Über die Sache ist deshalb neu zu entscheiden. Von dem aufgezeigten</w:t>
      </w:r>
    </w:p>
    <w:p>
      <w:r>
        <w:t xml:space="preserve">Rechtsfehler sind die getroffenen Feststellungen nicht berührt; diese können</w:t>
      </w:r>
    </w:p>
    <w:p>
      <w:r>
        <w:t xml:space="preserve">deshalb bestehen bleiben, was ergänzende Feststellungen durch den neuen</w:t>
      </w:r>
    </w:p>
    <w:p>
      <w:r>
        <w:t xml:space="preserve">Tatrichter nicht ausschließt.</w:t>
      </w:r>
    </w:p>
    <w:p>
      <w:r>
        <w:t xml:space="preserve">2. Die Aufhebung des angefochtenen Urteils im Schuldspruch hat not-</w:t>
      </w:r>
    </w:p>
    <w:p>
      <w:r>
        <w:t xml:space="preserve">wendigerweise die Aufhebung des an sich milden Strafausspruchs zur Folge.</w:t>
      </w:r>
    </w:p>
    <w:p>
      <w:r>
        <w:t xml:space="preserve">Deshalb ist auch über die nachträgliche Gesamtstrafenbildung neu zu entschei-</w:t>
      </w:r>
    </w:p>
    <w:p>
      <w:r>
        <w:t xml:space="preserve">den. Dies gibt dem neuen Tatrichter Gelegenheit, gemäß § 58 Abs. 2 Satz 2</w:t>
      </w:r>
    </w:p>
    <w:p>
      <w:r>
        <w:t xml:space="preserve">i.V.m. § 56 f Abs. 3 Satz 2 StGB auch über die Anrechnung erbrachter Bewäh-</w:t>
      </w:r>
    </w:p>
    <w:p>
      <w:r>
        <w:t xml:space="preserve">rungsleistungen zu befinden. Der Senat könnte auf die von dem Beschwerde-</w:t>
      </w:r>
    </w:p>
    <w:p>
      <w:r>
        <w:t xml:space="preserve">führer allein erhobene Sachrüge das Unterbleiben dieser Anrechnungsent-</w:t>
      </w:r>
    </w:p>
    <w:p>
      <w:r>
        <w:t xml:space="preserve">scheidung in dem angefochtenen Urteil nicht beachten. Denn das Landgericht</w:t>
      </w:r>
    </w:p>
    <w:p>
      <w:r>
        <w:t xml:space="preserve">hat zu der einbezogenen, zur Bewährung ausgesetzten Freiheitsstrafe gerade</w:t>
      </w:r>
    </w:p>
    <w:p>
      <w:r>
        <w:t xml:space="preserve">keine Feststellungen zu Bewährungsauflagen und ihrer Erfüllung getroffen. Bei</w:t>
      </w:r>
    </w:p>
    <w:p>
      <w:r>
        <w:t xml:space="preserve">dieser Sachlage hätte es einer Verfahrensrüge bedurft</w:t>
      </w:r>
    </w:p>
    <w:p>
      <w:r>
        <w:t xml:space="preserve">(BGHSt</w:t>
      </w:r>
    </w:p>
    <w:p>
      <w:r>
        <w:t xml:space="preserve">35, 238; BGH, Beschluss vom 7. März 2001 - 2 StR 43/01), wenn nicht der</w:t>
      </w:r>
    </w:p>
    <w:p>
      <w:r>
        <w:t xml:space="preserve">Strafausspruch bereits - wie aufgezeigt - aus anderen Gründen der Aufhebung</w:t>
      </w:r>
    </w:p>
    <w:p>
      <w:r>
        <w:t xml:space="preserve">unterläge.</w:t>
      </w:r>
    </w:p>
    <w:p>
      <w:r>
        <w:t xml:space="preserve">Tepperwien Maatz Kuckein</w:t>
      </w:r>
    </w:p>
    <w:p>
      <w:r>
        <w:t xml:space="preserve">Ernemann Sost-Scheible</w:t>
      </w:r>
    </w:p>
    <w:p>
      <w:r>
        <w:rPr>
          <w:color w:val="555555"/>
          <w:sz w:val="17"/>
        </w:rPr>
        <w:t xml:space="preserve">Zitiervorschlag: BGH, Beschluss vom 22.02.2007 – 4 StR 49/07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https://recht.nulegal.eu/rechtsprechung/bgh/2007-02-22/4-str-49-07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