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Beschluss vom 10.01.2007 – 2 StR 405/06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StR 405/06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10. Januar 2007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1.</w:t>
      </w:r>
    </w:p>
    <w:p>
      <w:r>
        <w:t xml:space="preserve">2.</w:t>
      </w:r>
    </w:p>
    <w:p>
      <w:r>
        <w:t xml:space="preserve">3.</w:t>
      </w:r>
    </w:p>
    <w:p>
      <w:r>
        <w:t xml:space="preserve">wegen Vergewaltigung</w:t>
      </w:r>
    </w:p>
    <w:p>
      <w:r>
        <w:t xml:space="preserve">Der 2. Strafsenat des Bundesgerichtshofs hat auf Antrag des Generalbundes-</w:t>
      </w:r>
    </w:p>
    <w:p>
      <w:r>
        <w:t xml:space="preserve">anwalts und nach Anhörung der Beschwerdeführer am 10. Januar 2007 gemäß</w:t>
      </w:r>
    </w:p>
    <w:p>
      <w:r>
        <w:t xml:space="preserve">§ 349 Abs. 2 StPO beschlossen:</w:t>
      </w:r>
    </w:p>
    <w:p>
      <w:r>
        <w:t xml:space="preserve">Die Revisionen der Angeklagten gegen das Urteil des Landge-</w:t>
      </w:r>
    </w:p>
    <w:p>
      <w:r>
        <w:t xml:space="preserve">richts Trier vom 20. April 2006 werden als unbegründet verworfen,</w:t>
      </w:r>
    </w:p>
    <w:p>
      <w:r>
        <w:t xml:space="preserve">da die Nachprüfung des Urteils auf Grund der Revisionsrechtferti-</w:t>
      </w:r>
    </w:p>
    <w:p>
      <w:r>
        <w:t xml:space="preserve">gungen keinen Rechtsfehler zum Nachteil der Angeklagten erge-</w:t>
      </w:r>
    </w:p>
    <w:p>
      <w:r>
        <w:t xml:space="preserve">ben hat.</w:t>
      </w:r>
    </w:p>
    <w:p>
      <w:r>
        <w:t xml:space="preserve">Jeder Beschwerdeführer hat die Kosten seines Rechtsmittels und</w:t>
      </w:r>
    </w:p>
    <w:p>
      <w:r>
        <w:t xml:space="preserve">die dem Nebenkläger im Revisionsverfahren entstandenen not-</w:t>
      </w:r>
    </w:p>
    <w:p>
      <w:r>
        <w:t xml:space="preserve">wendigen Auslagen zu tragen.</w:t>
      </w:r>
    </w:p>
    <w:p>
      <w:r>
        <w:t xml:space="preserve">Ergänzend bemerkt der Senat:</w:t>
      </w:r>
    </w:p>
    <w:p>
      <w:r>
        <w:t xml:space="preserve">1. Die Verfahrensrüge des Angeklagten P. , das Landgericht habe zu</w:t>
      </w:r>
    </w:p>
    <w:p>
      <w:r>
        <w:t xml:space="preserve">Unrecht ein Ablehnungsgesuch gegen sämtliche erkennenden Richter gemäß</w:t>
      </w:r>
    </w:p>
    <w:p>
      <w:r>
        <w:t xml:space="preserve">§ 26 a StPO zurückgewiesen (Rev.Begr. S. 125 bis 146), ist - unabhängig von</w:t>
      </w:r>
    </w:p>
    <w:p>
      <w:r>
        <w:t xml:space="preserve">der vom Generalbundesanwalt verneinten Frage, ob sie zulässig erhoben ist -</w:t>
      </w:r>
    </w:p>
    <w:p>
      <w:r>
        <w:t xml:space="preserve">jedenfalls unbegründet. Der Zurückweisungsbeschluss des Landgerichts lässt</w:t>
      </w:r>
    </w:p>
    <w:p>
      <w:r>
        <w:t xml:space="preserve">die von der Revision behaupteten Rechtsfehler nicht erkennen.</w:t>
      </w:r>
    </w:p>
    <w:p>
      <w:r>
        <w:t xml:space="preserve">2. Die mit "VIII" nummerierte Verfahrensrüge des Angeklagten B. ,</w:t>
      </w:r>
    </w:p>
    <w:p>
      <w:r>
        <w:t xml:space="preserve">das Landgericht habe rechtsfehlerhaft einen Beweisantrag auf Vernehmung</w:t>
      </w:r>
    </w:p>
    <w:p>
      <w:r>
        <w:t xml:space="preserve">eines Sachverständigen zum Beweis mangelnder Sachkunde des Sachverstän-</w:t>
      </w:r>
    </w:p>
    <w:p>
      <w:r>
        <w:t xml:space="preserve">digen Dr. N. und zum Beweis einer Einschränkung der Schuldfähigkeit des An-</w:t>
      </w:r>
    </w:p>
    <w:p>
      <w:r>
        <w:t xml:space="preserve">geklagten zurückgewiesen (Rev.Begr. S. 438 bis 500), ist im Ergebnis jeden-</w:t>
      </w:r>
    </w:p>
    <w:p>
      <w:r>
        <w:t xml:space="preserve">falls unbegründet. Zwar hat das Landgericht, wie die Begründung des zurück-</w:t>
      </w:r>
    </w:p>
    <w:p>
      <w:r>
        <w:t xml:space="preserve">weisenden Beschlusses ergibt, möglicherweise den Inhalt der Beweisbehaup-</w:t>
      </w:r>
    </w:p>
    <w:p>
      <w:r>
        <w:t xml:space="preserve">tung nicht erschöpfend behandelt. Seine Darlegung, es sei aufgrund eigener</w:t>
      </w:r>
    </w:p>
    <w:p>
      <w:r>
        <w:t xml:space="preserve">Sachkunde nicht gehalten, einen weiteren Sachverständigen zur Schuldfähig-</w:t>
      </w:r>
    </w:p>
    <w:p>
      <w:r>
        <w:t xml:space="preserve">keit des Angeklagten zu vernehmen, war hiervon aber nicht berührt und weist</w:t>
      </w:r>
    </w:p>
    <w:p>
      <w:r>
        <w:t xml:space="preserve">einen Rechtsfehler zum Nachteil des Angeklagten nicht auf.</w:t>
      </w:r>
    </w:p>
    <w:p>
      <w:r>
        <w:t xml:space="preserve">3. Die Stellungnahme des Generalbundesanwalts könnte unter Umstän-</w:t>
      </w:r>
    </w:p>
    <w:p>
      <w:r>
        <w:t xml:space="preserve">den insoweit missverständlich sein, als sie einen Zählfehler der Revisionsbe-</w:t>
      </w:r>
    </w:p>
    <w:p>
      <w:r>
        <w:t xml:space="preserve">gründung aufgegriffen hat. Diese fährt nämlich nach der Verfahrensrüge Nr. V</w:t>
      </w:r>
    </w:p>
    <w:p>
      <w:r>
        <w:t xml:space="preserve">mit der Rüge Nr. VII fort; eine Rüge Nr. VI fehlt. In der Stellungnahme des Ge-</w:t>
      </w:r>
    </w:p>
    <w:p>
      <w:r>
        <w:t xml:space="preserve">neralbundesanwalts sind die Rüge Nr. VIII unter der Ziffer 6, die Rüge Nr. IX</w:t>
      </w:r>
    </w:p>
    <w:p>
      <w:r>
        <w:t xml:space="preserve">unter der Ziffer 7, die Rüge Nr. X unter der Ziffer 8 behandelt. Die Stellungnah-</w:t>
      </w:r>
    </w:p>
    <w:p>
      <w:r>
        <w:t xml:space="preserve">me zur Rüge Nr. VII (Rev. Begr. S. 360 bis 437) ist vom Generalbundesanwalt</w:t>
      </w:r>
    </w:p>
    <w:p>
      <w:r>
        <w:t xml:space="preserve">mit derjenigen zur Rüge Nr. IV (Rev.Begr. S. 159 bis 254, in der Antragsschrift</w:t>
      </w:r>
    </w:p>
    <w:p>
      <w:r>
        <w:t xml:space="preserve">des Generalbundesanwalts irrtümlich mit falscher Seitenzahl angegeben) unter</w:t>
      </w:r>
    </w:p>
    <w:p>
      <w:r>
        <w:t xml:space="preserve">Ziffer 4 behandelt. Die vom Angeklagten B. als Rüge Nr. IX erhobene Ver-</w:t>
      </w:r>
    </w:p>
    <w:p>
      <w:r>
        <w:t xml:space="preserve">fahrensrüge</w:t>
      </w:r>
    </w:p>
    <w:p>
      <w:r>
        <w:t xml:space="preserve">(Rev.Begr. S. 501 bis 599), die sich mit der Rüge</w:t>
      </w:r>
    </w:p>
    <w:p>
      <w:r>
        <w:t xml:space="preserve">Nr. VIII weithin überschneidet, ist aus den vom Generalbundesanwalt dargeleg-</w:t>
      </w:r>
    </w:p>
    <w:p>
      <w:r>
        <w:t xml:space="preserve">ten Gründen unzulässig. Sie wäre im Übrigen auch aus den oben dargelegten</w:t>
      </w:r>
    </w:p>
    <w:p>
      <w:r>
        <w:t xml:space="preserve">Gründen unbegründet.</w:t>
      </w:r>
    </w:p>
    <w:p>
      <w:r>
        <w:t xml:space="preserve">Rissing-van Saan Bode Otten</w:t>
      </w:r>
    </w:p>
    <w:p>
      <w:r>
        <w:t xml:space="preserve">Fischer Roggenbuck</w:t>
      </w:r>
    </w:p>
    <w:p>
      <w:r>
        <w:rPr>
          <w:color w:val="555555"/>
          <w:sz w:val="17"/>
        </w:rPr>
        <w:t xml:space="preserve">Zitiervorschlag: BGH, Beschluss vom 10.01.2007 – 2 StR 405/06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https://recht.nulegal.eu/rechtsprechung/bgh/2007-01-10/2-str-405-06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Beschluss vom 10.01.2007 – 2 StR 405/06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