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Beschluss vom 21.12.2005 – 2 StR 539/05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StR 539/05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21. Dezember 2005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unerlaubter Einfuhr von Betäubungsmitteln in nicht geringer Menge u. a.</w:t>
      </w:r>
    </w:p>
    <w:p>
      <w:r>
        <w:t xml:space="preserve">Der 2. Strafsenat des Bundesgerichtshofs hat nach Anhörung des Generalbun-</w:t>
      </w:r>
    </w:p>
    <w:p>
      <w:r>
        <w:t xml:space="preserve">desanwalts und des Beschwerdeführers am 21. Dezember 2005 gemäß § 349</w:t>
      </w:r>
    </w:p>
    <w:p>
      <w:r>
        <w:t xml:space="preserve">Abs. 2 und 4 StPO beschlossen:</w:t>
      </w:r>
    </w:p>
    <w:p>
      <w:r>
        <w:t xml:space="preserve">1. Auf die Revision des Angeklagten wird das Urteil des Landge-</w:t>
      </w:r>
    </w:p>
    <w:p>
      <w:r>
        <w:t xml:space="preserve">richts Koblenz vom 22. Juli 2005 im Schuldspruch dahin geän-</w:t>
      </w:r>
    </w:p>
    <w:p>
      <w:r>
        <w:t xml:space="preserve">dert, dass der Angeklagte der Einfuhr von Betäubungsmitteln in</w:t>
      </w:r>
    </w:p>
    <w:p>
      <w:r>
        <w:t xml:space="preserve">nicht geringer Menge in Tateinheit mit Beihilfe zum Handeltrei-</w:t>
      </w:r>
    </w:p>
    <w:p>
      <w:r>
        <w:t xml:space="preserve">ben mit Betäubungsmitteln in nicht geringer Menge schuldig ist.</w:t>
      </w:r>
    </w:p>
    <w:p>
      <w:r>
        <w:t xml:space="preserve">2. Die weitergehende Revision wird verworfen.</w:t>
      </w:r>
    </w:p>
    <w:p>
      <w:r>
        <w:t xml:space="preserve">3. Der Angeklagte hat die Kosten seines Rechtsmittels zu tragen.</w:t>
      </w:r>
    </w:p>
    <w:p>
      <w:pPr>
        <w:pStyle w:val="Heading2"/>
      </w:pPr>
      <w:r>
        <w:t xml:space="preserve">Gründe</w:t>
      </w:r>
    </w:p>
    <w:p>
      <w:r>
        <w:rPr>
          <w:b/>
        </w:rPr>
        <w:t xml:space="preserve">Rn. 1</w:t>
      </w:r>
    </w:p>
    <w:p>
      <w:r>
        <w:t xml:space="preserve">Das Landgericht hat den Angeklagten wegen Einfuhr von Betäubungs-</w:t>
      </w:r>
    </w:p>
    <w:p>
      <w:r>
        <w:t xml:space="preserve">mitteln in nicht geringer Menge in Tateinheit mit Handeltreiben mit Betäu-</w:t>
      </w:r>
    </w:p>
    <w:p>
      <w:r>
        <w:t xml:space="preserve">bungsmitteln in nicht geringer Menge zu der Freiheitsstrafe von sechs Jahren</w:t>
      </w:r>
    </w:p>
    <w:p>
      <w:r>
        <w:t xml:space="preserve">verurteilt und ihm die Fahrerlaubnis mit der Wirkung entzogen, dass er für die</w:t>
      </w:r>
    </w:p>
    <w:p>
      <w:r>
        <w:t xml:space="preserve">Dauer von zwei Jahren im Inland von ihr keinen Gebrauch machen darf. Mit</w:t>
      </w:r>
    </w:p>
    <w:p>
      <w:r>
        <w:t xml:space="preserve">seiner Revision gegen dieses Urteil rügt der Angeklagte die Verletzung formel-</w:t>
      </w:r>
    </w:p>
    <w:p>
      <w:r>
        <w:t xml:space="preserve">len und materiellen Rechts. Das Rechtsmittel führt zu der aus der Beschluss-</w:t>
      </w:r>
    </w:p>
    <w:p>
      <w:r>
        <w:t xml:space="preserve">formel ersichtlichen Änderung des Schuldspruchs. Im Übrigen ist es offensicht-</w:t>
      </w:r>
    </w:p>
    <w:p>
      <w:r>
        <w:t xml:space="preserve">lich unbegründet (§ 349 Abs. 2 StPO).</w:t>
      </w:r>
    </w:p>
    <w:p>
      <w:r>
        <w:rPr>
          <w:b/>
        </w:rPr>
        <w:t xml:space="preserve">Rn. 2</w:t>
      </w:r>
    </w:p>
    <w:p>
      <w:r>
        <w:t xml:space="preserve">1. Das Landgericht hat im Wesentlichen festgestellt:</w:t>
      </w:r>
    </w:p>
    <w:p>
      <w:r>
        <w:rPr>
          <w:b/>
        </w:rPr>
        <w:t xml:space="preserve">Rn. 3</w:t>
      </w:r>
    </w:p>
    <w:p>
      <w:r>
        <w:t xml:space="preserve">Der Angeklagte hatte bei "A. " in H. 1.500 € Schulden aus Drogen-</w:t>
      </w:r>
    </w:p>
    <w:p>
      <w:r>
        <w:t xml:space="preserve">käufen. "A. " verlangte von dem Angeklagten, dass dieser für ihn eine größere</w:t>
      </w:r>
    </w:p>
    <w:p>
      <w:r>
        <w:t xml:space="preserve">Menge Haschisch, Marihuana und Kokain aus den Niederlanden nach L.</w:t>
      </w:r>
    </w:p>
    <w:p>
      <w:r>
        <w:t xml:space="preserve">bei M. bringen solle, damit die Drogen dort verkauft werden könnten.</w:t>
      </w:r>
    </w:p>
    <w:p>
      <w:r>
        <w:t xml:space="preserve">"A. " zeigte dem Angeklagten dabei eine Waffe und drohte, die frühere Freun-</w:t>
      </w:r>
    </w:p>
    <w:p>
      <w:r>
        <w:t xml:space="preserve">din und den Sohn des Angeklagten "aufzusuchen", falls er die Kurierfahrt ver-</w:t>
      </w:r>
    </w:p>
    <w:p>
      <w:r>
        <w:t xml:space="preserve">weigern sollte. Daneben versprach "A. " dem Angeklagten, ihm nach der Fahrt</w:t>
      </w:r>
    </w:p>
    <w:p>
      <w:r>
        <w:t xml:space="preserve">die Schulden zu erlassen und ihm eine kleine Menge Betäubungsmittel zu ge-</w:t>
      </w:r>
    </w:p>
    <w:p>
      <w:r>
        <w:t xml:space="preserve">ben. Der Angeklagte ließ sich darauf ein und brach nach Einnahme von Kokain</w:t>
      </w:r>
    </w:p>
    <w:p>
      <w:r>
        <w:t xml:space="preserve">und Marihuana am 22. März 2005 mit "A. " von den Niederlanden in Richtung</w:t>
      </w:r>
    </w:p>
    <w:p>
      <w:r>
        <w:t xml:space="preserve">M. auf, wo die Drogen weitergegeben werden sollten. Sie fuhren mit zwei</w:t>
      </w:r>
    </w:p>
    <w:p>
      <w:r>
        <w:t xml:space="preserve">Fahrzeugen, wobei sich die Drogen (1 kg Marihuana, 6,8 kg Haschisch, 1,18 kg</w:t>
      </w:r>
    </w:p>
    <w:p>
      <w:r>
        <w:t xml:space="preserve">Kokain) in dem vom Angeklagten geführten Fahrzeug befanden. Bei einer Zoll-</w:t>
      </w:r>
    </w:p>
    <w:p>
      <w:r>
        <w:t xml:space="preserve">kontrolle bei Mo. wurden die Betäubungsmittel sichergestellt.</w:t>
      </w:r>
    </w:p>
    <w:p>
      <w:r>
        <w:t xml:space="preserve">2. Der Angeklagte hat zwar die Einfuhr der Betäubungsmittel als Täter</w:t>
      </w:r>
    </w:p>
    <w:p>
      <w:r>
        <w:t xml:space="preserve">verwirklicht, hinsichtlich des Handeltreibens ist sein Tatbeitrag jedoch nur als</w:t>
      </w:r>
    </w:p>
    <w:p>
      <w:r>
        <w:t xml:space="preserve">Beihilfe zu werten.</w:t>
      </w:r>
    </w:p>
    <w:p>
      <w:r>
        <w:t xml:space="preserve">Der Schuldspruch wegen Täterschaft hinsichtlich der unerlaubten Einfuhr</w:t>
      </w:r>
    </w:p>
    <w:p>
      <w:r>
        <w:t xml:space="preserve">bedingt nicht notwendig auch die Bewertung des Vorgehens des Angeklagten</w:t>
      </w:r>
    </w:p>
    <w:p>
      <w:r>
        <w:t xml:space="preserve">als täterschaftliches Handeltreiben. Vielmehr bedarf es der Abgrenzung zur</w:t>
      </w:r>
    </w:p>
    <w:p>
      <w:r>
        <w:t xml:space="preserve">Beihilfe nach den allgemeinen Grundsätzen des Strafrechts (vgl. BGH NStZ-RR</w:t>
      </w:r>
    </w:p>
    <w:p>
      <w:r>
        <w:t xml:space="preserve">1999, 186, 187; BGH, Beschl. vom 2. Juli 1998 - 1 StR 280/98 -; Urt. vom</w:t>
      </w:r>
    </w:p>
    <w:p>
      <w:r>
        <w:t xml:space="preserve">14. Dezember 2005 - 2 StR 466/05 - jeweils m.w.N.). Der Tatbestand des Han-</w:t>
      </w:r>
    </w:p>
    <w:p>
      <w:r>
        <w:t xml:space="preserve">deltreibens mit Betäubungsmitteln ist zwar weit auszulegen (BGH-GSSt,</w:t>
      </w:r>
    </w:p>
    <w:p>
      <w:r>
        <w:t xml:space="preserve">Beschl. vom 26. Oktober 2005 - GSSt 1/05 - S. 14 = NJW 2005, 3790, 3792)</w:t>
      </w:r>
    </w:p>
    <w:p>
      <w:r>
        <w:t xml:space="preserve">und erfasst grundsätzlich alle Tätigkeiten, soweit sie auf den späteren Umsatz</w:t>
      </w:r>
    </w:p>
    <w:p>
      <w:r>
        <w:t xml:space="preserve">des Rauschgifts gerichtet sind. Nicht jede eigennützige Förderung fremder Um-</w:t>
      </w:r>
    </w:p>
    <w:p>
      <w:r>
        <w:t xml:space="preserve">satzgeschäfte ist aber als täterschaftliches Handeltreiben zu bewerten (vgl. aaO</w:t>
      </w:r>
    </w:p>
    <w:p>
      <w:r>
        <w:rPr>
          <w:b/>
        </w:rPr>
        <w:t xml:space="preserve">Rn. 5</w:t>
      </w:r>
    </w:p>
    <w:p>
      <w:r>
        <w:t xml:space="preserve">S. 20 = NJW 2005, 3790, 3793 m.w.N.). Eine ganz untergeordnete Tätigkeit</w:t>
      </w:r>
    </w:p>
    <w:p>
      <w:r>
        <w:t xml:space="preserve">genügt in aller Regel nicht. Die Tätigkeit des Kuriers, der gegen Entlohnung</w:t>
      </w:r>
    </w:p>
    <w:p>
      <w:r>
        <w:t xml:space="preserve">selbst Betäubungsmittel transportiert, ohne selbst Käufer oder Verkäufer zu</w:t>
      </w:r>
    </w:p>
    <w:p>
      <w:r>
        <w:t xml:space="preserve">sein, ist insoweit nicht grundsätzlich von untergeordneter Bedeutung, auch er</w:t>
      </w:r>
    </w:p>
    <w:p>
      <w:r>
        <w:t xml:space="preserve">kann Täter sein (vgl. BGH NStZ-RR 1999, 186, 187 m.w.N.).</w:t>
      </w:r>
    </w:p>
    <w:p>
      <w:r>
        <w:rPr>
          <w:b/>
        </w:rPr>
        <w:t xml:space="preserve">Rn. 6</w:t>
      </w:r>
    </w:p>
    <w:p>
      <w:r>
        <w:t xml:space="preserve">Das angefochtene Urteil nimmt in Bezug auf das Handeltreiben aber kei-</w:t>
      </w:r>
    </w:p>
    <w:p>
      <w:r>
        <w:t xml:space="preserve">ne nähere über die bloße Umschreibung der Kuriertätigkeit hinausgehende Ab-</w:t>
      </w:r>
    </w:p>
    <w:p>
      <w:r>
        <w:t xml:space="preserve">grenzung zwischen Täterschaft und Beihilfe vor, obwohl das unter den gegebe-</w:t>
      </w:r>
    </w:p>
    <w:p>
      <w:r>
        <w:t xml:space="preserve">nen Umständen geboten war. Die bisher festgestellten, für diese Abgrenzung</w:t>
      </w:r>
    </w:p>
    <w:p>
      <w:r>
        <w:t xml:space="preserve">relevanten Umstände ergeben, dass der Tatbeitrag des Angeklagten als Beihil-</w:t>
      </w:r>
    </w:p>
    <w:p>
      <w:r>
        <w:t xml:space="preserve">fe zum Handeltreiben zu werten ist. Der Angeklagte hatte mit dem An- und Ver-</w:t>
      </w:r>
    </w:p>
    <w:p>
      <w:r>
        <w:t xml:space="preserve">kauf der transportierten Betäubungsmittel nichts zu tun, er hatte keinen Einfluss</w:t>
      </w:r>
    </w:p>
    <w:p>
      <w:r>
        <w:t xml:space="preserve">auf deren Menge sowie auf Transportweg und -ziel und handelte unter dem</w:t>
      </w:r>
    </w:p>
    <w:p>
      <w:r>
        <w:t xml:space="preserve">Eindruck der von "A. " geäußerten Drohung. Der Angeklagte transportierte das</w:t>
      </w:r>
    </w:p>
    <w:p>
      <w:r>
        <w:t xml:space="preserve">Rauschgift nicht eigenverantwortlich, sondern unter der ständigen Aufsicht und</w:t>
      </w:r>
    </w:p>
    <w:p>
      <w:r>
        <w:t xml:space="preserve">Anleitung des "A. " als Kurierbegleiter. Der Angeklagte wusste nicht, an wen</w:t>
      </w:r>
    </w:p>
    <w:p>
      <w:r>
        <w:t xml:space="preserve">das Rauschgift am Zielort abgegeben werden sollte. Im Hinblick auf die trans-</w:t>
      </w:r>
    </w:p>
    <w:p>
      <w:r>
        <w:t xml:space="preserve">portierte Gesamtmenge und die dem Angeklagten entstehenden Fahrtkosten</w:t>
      </w:r>
    </w:p>
    <w:p>
      <w:r>
        <w:t xml:space="preserve">war die Entlohnung gering. Insgesamt belegen diese Umstände, dass der An-</w:t>
      </w:r>
    </w:p>
    <w:p>
      <w:r>
        <w:t xml:space="preserve">geklagte bei dem Betäubungsmittelgeschäft des "A. " nur eine untergeordnete</w:t>
      </w:r>
    </w:p>
    <w:p>
      <w:r>
        <w:t xml:space="preserve">Rolle spielte. Der Tatbeitrag des Angeklagten kann daher nur als Beihilfe zum</w:t>
      </w:r>
    </w:p>
    <w:p>
      <w:r>
        <w:t xml:space="preserve">Handeltreiben mit Betäubungsmitteln, nicht aber als Täterschaft gewertet wer-</w:t>
      </w:r>
    </w:p>
    <w:p>
      <w:r>
        <w:t xml:space="preserve">den.</w:t>
      </w:r>
    </w:p>
    <w:p>
      <w:r>
        <w:rPr>
          <w:b/>
        </w:rPr>
        <w:t xml:space="preserve">Rn. 7</w:t>
      </w:r>
    </w:p>
    <w:p>
      <w:r>
        <w:t xml:space="preserve">Da die bisherigen Feststellungen auf dem vom Landgericht für glaubhaft</w:t>
      </w:r>
    </w:p>
    <w:p>
      <w:r>
        <w:t xml:space="preserve">erachteten Geständnis beruhen und in einer neuen Hauptverhandlung keine</w:t>
      </w:r>
    </w:p>
    <w:p>
      <w:r>
        <w:t xml:space="preserve">weiteren Feststellungen, die ein täterschaftliches Handeltreiben begründen</w:t>
      </w:r>
    </w:p>
    <w:p>
      <w:r>
        <w:t xml:space="preserve">könnten, zu erwarten sind, hat der Senat den Schuldspruch dahin geändert,</w:t>
      </w:r>
    </w:p>
    <w:p>
      <w:r>
        <w:t xml:space="preserve">dass der Angeklagte der Einfuhr von Betäubungsmitteln in nicht geringer Men-</w:t>
      </w:r>
    </w:p>
    <w:p>
      <w:r>
        <w:t xml:space="preserve">ge in Tateinheit mit Beihilfe zum Handeltreiben mit Betäubungsmitteln in nicht</w:t>
      </w:r>
    </w:p>
    <w:p>
      <w:r>
        <w:t xml:space="preserve">geringer Menge schuldig ist. § 265 StPO steht nicht entgegen, weil auszu-</w:t>
      </w:r>
    </w:p>
    <w:p>
      <w:r>
        <w:t xml:space="preserve">schließen ist, dass sich der Angeklagte gegen den geänderten Schuldvorwurf</w:t>
      </w:r>
    </w:p>
    <w:p>
      <w:r>
        <w:t xml:space="preserve">anders und wirksamer als geschehen hätte verteidigen können.</w:t>
      </w:r>
    </w:p>
    <w:p>
      <w:r>
        <w:rPr>
          <w:b/>
        </w:rPr>
        <w:t xml:space="preserve">Rn. 8</w:t>
      </w:r>
    </w:p>
    <w:p>
      <w:r>
        <w:t xml:space="preserve">Der Rechtsfolgenausspruch kann auch nach der Änderung des Schuld-</w:t>
      </w:r>
    </w:p>
    <w:p>
      <w:r>
        <w:t xml:space="preserve">spruchs bestehen bleiben. Der Senat schließt insbesondere im Hinblick auf die</w:t>
      </w:r>
    </w:p>
    <w:p>
      <w:r>
        <w:t xml:space="preserve">große Menge der eingeführten Betäubungsmittel aus, dass das Landgericht auf</w:t>
      </w:r>
    </w:p>
    <w:p>
      <w:r>
        <w:t xml:space="preserve">der Grundlage des geänderten Schuldspruchs eine mildere Freiheitsstrafe ver-</w:t>
      </w:r>
    </w:p>
    <w:p>
      <w:r>
        <w:t xml:space="preserve">hängt hätte. Für die Strafzumessung bleibt unverändert der Strafrahmen des</w:t>
      </w:r>
    </w:p>
    <w:p>
      <w:r>
        <w:t xml:space="preserve">§ 30 Abs. 1 BtMG maßgebend. Zudem hat das Landgericht die tateinheitliche</w:t>
      </w:r>
    </w:p>
    <w:p>
      <w:r>
        <w:t xml:space="preserve">Verwirklichung eines weiteren Tatbestands nicht zum Nachteil des Angeklagten</w:t>
      </w:r>
    </w:p>
    <w:p>
      <w:r>
        <w:t xml:space="preserve">gewertet und strafmildernd berücksichtigt, dass er lediglich als Kurier für straf-</w:t>
      </w:r>
    </w:p>
    <w:p>
      <w:r>
        <w:t xml:space="preserve">würdigere Hintermänner tätig wurde. Damit hat das Landgericht der unterge-</w:t>
      </w:r>
    </w:p>
    <w:p>
      <w:r>
        <w:t xml:space="preserve">ordneten Rolle des Angeklagten bei seiner Strafbemessung bereits hinreichend</w:t>
      </w:r>
    </w:p>
    <w:p>
      <w:r>
        <w:t xml:space="preserve">Rechnung getragen.</w:t>
      </w:r>
    </w:p>
    <w:p>
      <w:r>
        <w:t xml:space="preserve">Rissing-van Saan Bode Rothfuß</w:t>
      </w:r>
    </w:p>
    <w:p>
      <w:r>
        <w:t xml:space="preserve">Fischer Appl</w:t>
      </w:r>
    </w:p>
    <w:p>
      <w:r>
        <w:rPr>
          <w:color w:val="555555"/>
          <w:sz w:val="17"/>
        </w:rPr>
        <w:t xml:space="preserve">Zitiervorschlag: BGH, Beschluss vom 21.12.2005 – 2 StR 539/05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https://recht.nulegal.eu/rechtsprechung/bgh/2005-12-21/2-str-539-05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Beschluss vom 21.12.2005 – 2 StR 539/05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