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BGH, Beschluss vom 25.08.2004 – 2 StR 279/04</w:t>
      </w:r>
    </w:p>
    <w:p>
      <w:r>
        <w:rPr>
          <w:color w:val="555555"/>
          <w:sz w:val="18"/>
        </w:rPr>
        <w:t xml:space="preserve">2. Strafsenat</w:t>
      </w:r>
    </w:p>
    <w:p>
      <w:r>
        <w:t xml:space="preserve">BUNDESGERICHTSHOF</w:t>
      </w:r>
    </w:p>
    <w:p>
      <w:r>
        <w:t xml:space="preserve">2 StR 279/04</w:t>
      </w:r>
    </w:p>
    <w:p>
      <w:pPr>
        <w:pStyle w:val="Heading2"/>
      </w:pPr>
      <w:r>
        <w:t xml:space="preserve">BESCHLUSS</w:t>
      </w:r>
    </w:p>
    <w:p>
      <w:r>
        <w:t xml:space="preserve">vom</w:t>
      </w:r>
    </w:p>
    <w:p>
      <w:r>
        <w:t xml:space="preserve">25. August 2004</w:t>
      </w:r>
    </w:p>
    <w:p>
      <w:r>
        <w:t xml:space="preserve">in der Strafsache</w:t>
      </w:r>
    </w:p>
    <w:p>
      <w:r>
        <w:t xml:space="preserve">gegen</w:t>
      </w:r>
    </w:p>
    <w:p>
      <w:r>
        <w:t xml:space="preserve">wegen schweren sexuellen Mißbrauchs von Kindern u.a.</w:t>
      </w:r>
    </w:p>
    <w:p>
      <w:r>
        <w:t xml:space="preserve">Der 2. Strafsenat des Bundesgerichtshofs hat auf Antrag des Generalbundesanwalts</w:t>
      </w:r>
    </w:p>
    <w:p>
      <w:r>
        <w:t xml:space="preserve">und nach Anhörung des Beschwerdeführers am 25. August 2004 gemäß § 349</w:t>
      </w:r>
    </w:p>
    <w:p>
      <w:r>
        <w:t xml:space="preserve">Abs. 2 StPO beschlossen:</w:t>
      </w:r>
    </w:p>
    <w:p>
      <w:r>
        <w:t xml:space="preserve">1. Die Revision des Angeklagten gegen das Urteil des Landgerichts Köln</w:t>
      </w:r>
    </w:p>
    <w:p>
      <w:r>
        <w:t xml:space="preserve">vom 24. März 2004 wird als unbegründet verworfen, da die Nachprü-</w:t>
      </w:r>
    </w:p>
    <w:p>
      <w:r>
        <w:t xml:space="preserve">fung des Urteils auf Grund der Revisionsrechtfertigung keinen Rechts-</w:t>
      </w:r>
    </w:p>
    <w:p>
      <w:r>
        <w:t xml:space="preserve">fehler zum Nachteil des Angeklagten ergeben hat.</w:t>
      </w:r>
    </w:p>
    <w:p>
      <w:r>
        <w:t xml:space="preserve">Der Beschwerdeführer hat die Kosten des Rechtsmittels und die der</w:t>
      </w:r>
    </w:p>
    <w:p>
      <w:r>
        <w:t xml:space="preserve">Nebenklägerin im Revisionsverfahren entstandenen notwendigen Aus-</w:t>
      </w:r>
    </w:p>
    <w:p>
      <w:r>
        <w:t xml:space="preserve">lagen zu tragen.</w:t>
      </w:r>
    </w:p>
    <w:p>
      <w:r>
        <w:t xml:space="preserve">2. Der Antrag der Nebenklägerin auf Bewilligung von Prozeßkostenhilfe ist</w:t>
      </w:r>
    </w:p>
    <w:p>
      <w:r>
        <w:t xml:space="preserve">gegenstandslos. Die vom Landgericht bewilligte Prozeßkostenhilfe legt</w:t>
      </w:r>
    </w:p>
    <w:p>
      <w:r>
        <w:t xml:space="preserve">der Senat als Bestellung eines Rechtsanwalts als Beistand nach</w:t>
      </w:r>
    </w:p>
    <w:p>
      <w:r>
        <w:t xml:space="preserve">§ 397a Abs. 1 Satz 2 StPO aus, die über die jeweilige Instanz hinaus</w:t>
      </w:r>
    </w:p>
    <w:p>
      <w:r>
        <w:t xml:space="preserve">wirkt (vgl. BGHR StPO § 397a Abs. 1 [i.d.F. v. 1.12.1998] Beistand 2).</w:t>
      </w:r>
    </w:p>
    <w:p>
      <w:r>
        <w:t xml:space="preserve">Rissing-van Saan Detter Bode</w:t>
      </w:r>
    </w:p>
    <w:p>
      <w:r>
        <w:t xml:space="preserve">Rothfuß Fischer</w:t>
      </w:r>
    </w:p>
    <w:p>
      <w:r>
        <w:rPr>
          <w:color w:val="555555"/>
          <w:sz w:val="17"/>
        </w:rPr>
        <w:t xml:space="preserve">Zitiervorschlag: BGH, Beschluss vom 25.08.2004 – 2 StR 279/04</w:t>
      </w:r>
    </w:p>
    <w:p>
      <w:r>
        <w:rPr>
          <w:color w:val="555555"/>
          <w:sz w:val="17"/>
        </w:rPr>
        <w:t xml:space="preserve">Quelle: bundesgerichtshof.de, abgerufen 10.07.2026</w:t>
      </w:r>
    </w:p>
    <w:p>
      <w:r>
        <w:rPr>
          <w:color w:val="555555"/>
          <w:sz w:val="17"/>
        </w:rPr>
        <w:t xml:space="preserve">Nicht-amtliche Fassung — maßgeblich ist die Ausfertigung des Gerichts</w:t>
      </w:r>
    </w:p>
    <w:p>
      <w:r>
        <w:rPr>
          <w:color w:val="555555"/>
          <w:sz w:val="17"/>
        </w:rPr>
        <w:t xml:space="preserve">Dieses Dokument: https://recht.nulegal.eu/rechtsprechung/bgh/2004-08-25/2-str-279-04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