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04.08.2004 – XII ZB 75/04</w:t>
      </w:r>
    </w:p>
    <w:p>
      <w:r>
        <w:rPr>
          <w:color w:val="555555"/>
          <w:sz w:val="18"/>
        </w:rPr>
        <w:t xml:space="preserve">XII. Zivilsenat</w:t>
      </w:r>
    </w:p>
    <w:p>
      <w:r>
        <w:t xml:space="preserve">BUNDESGERICHTSHOF</w:t>
      </w:r>
    </w:p>
    <w:p>
      <w:r>
        <w:t xml:space="preserve">XII ZB 75/04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4. August 2004</w:t>
      </w:r>
    </w:p>
    <w:p>
      <w:r>
        <w:t xml:space="preserve">in der Familiensache</w:t>
      </w:r>
    </w:p>
    <w:p>
      <w:r>
        <w:t xml:space="preserve">Der XII. Zivilsenat des Bundesgerichtshofs hat am 4. August 2004 durch die</w:t>
      </w:r>
    </w:p>
    <w:p>
      <w:r>
        <w:t xml:space="preserve">Vorsitzende Richterin Dr. Hahne, die Richter Sprick und Prof. Dr. Wagenitz, die</w:t>
      </w:r>
    </w:p>
    <w:p>
      <w:r>
        <w:t xml:space="preserve">Richterin Dr. Vézina und den Richter Dose</w:t>
      </w:r>
    </w:p>
    <w:p>
      <w:r>
        <w:t xml:space="preserve">beschlossen:</w:t>
      </w:r>
    </w:p>
    <w:p>
      <w:r>
        <w:t xml:space="preserve">Die Rechtsbeschwerde der weiteren Beteiligten zu 1 gegen den</w:t>
      </w:r>
    </w:p>
    <w:p>
      <w:r>
        <w:t xml:space="preserve">Beschluß des 5. Senats für Familiensachen des Schleswig-Hol-</w:t>
      </w:r>
    </w:p>
    <w:p>
      <w:r>
        <w:t xml:space="preserve">steinischen Oberlandesgerichts in Schleswig vom 8. März 2004</w:t>
      </w:r>
    </w:p>
    <w:p>
      <w:r>
        <w:t xml:space="preserve">wird auf ihre Kosten zurückgewiesen.</w:t>
      </w:r>
    </w:p>
    <w:p>
      <w:r>
        <w:t xml:space="preserve">Beschwerdewert: 500 €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t xml:space="preserve">Die Parteien haben am 24. September 1976 geheiratet. Der Schei-</w:t>
      </w:r>
    </w:p>
    <w:p>
      <w:r>
        <w:t xml:space="preserve">dungsantrag der Ehefrau (Antragstellerin; geboren am 30. März 1956) ist dem</w:t>
      </w:r>
    </w:p>
    <w:p>
      <w:r>
        <w:t xml:space="preserve">Ehemann (Antragsgegner; geboren am 17. November 1951) am 28. Januar</w:t>
      </w:r>
    </w:p>
    <w:p>
      <w:r>
        <w:t xml:space="preserve">2003 zugestellt worden. Das Amtsgericht - Familiengericht - hat durch Ver-</w:t>
      </w:r>
    </w:p>
    <w:p>
      <w:r>
        <w:t xml:space="preserve">bundurteil die Ehe geschieden (insoweit rechtskräftig) und den Versorgungs-</w:t>
      </w:r>
    </w:p>
    <w:p>
      <w:r>
        <w:t xml:space="preserve">ausgleich geregelt. Auf die Beschwerde der Versorgungsanstalt des Bundes</w:t>
      </w:r>
    </w:p>
    <w:p>
      <w:r>
        <w:t xml:space="preserve">und der Länder (VBL; weitere Beteiligte zu 1) hat das Oberlandesgericht die</w:t>
      </w:r>
    </w:p>
    <w:p>
      <w:r>
        <w:t xml:space="preserve">Entscheidung dahin abgeändert, daß es im Wege des Rentensplittings nach</w:t>
      </w:r>
    </w:p>
    <w:p>
      <w:r>
        <w:t xml:space="preserve">§ 1587 b Abs. 1 BGB vom Versicherungskonto des Antragsgegners bei der</w:t>
      </w:r>
    </w:p>
    <w:p>
      <w:r>
        <w:t xml:space="preserve">Bundesversicherungsanstalt für Angestellte (BfA; weitere Beteiligte zu 2) auf</w:t>
      </w:r>
    </w:p>
    <w:p>
      <w:r>
        <w:t xml:space="preserve">das Versicherungskonto der Antragstellerin bei der BfA Rentenanwartschaften</w:t>
      </w:r>
    </w:p>
    <w:p>
      <w:r>
        <w:t xml:space="preserve">in Höhe von monatlich 320,05 €, bezogen auf den 31. Dezember 2002, übertra-</w:t>
      </w:r>
    </w:p>
    <w:p>
      <w:r>
        <w:t xml:space="preserve">gen hat. Ferner hat es zu Lasten der Versorgung des Antragsgegners bei der</w:t>
      </w:r>
    </w:p>
    <w:p>
      <w:r>
        <w:t xml:space="preserve">VBL im Wege des analogen Quasisplittings nach § 1 Abs. 3 VAHRG auf dem</w:t>
      </w:r>
    </w:p>
    <w:p>
      <w:r>
        <w:t xml:space="preserve">Versicherungskonto der Antragstellerin bei der BfA Rentenanwartschaften in</w:t>
      </w:r>
    </w:p>
    <w:p>
      <w:r>
        <w:t xml:space="preserve">Höhe von monatlich 46,98 , bezogen auf den 31. Dezember 2002, begründet.</w:t>
      </w:r>
    </w:p>
    <w:p>
      <w:r>
        <w:t xml:space="preserve">Dabei ist das Oberlandesgericht nach den Auskünften der weiteren Be-</w:t>
      </w:r>
    </w:p>
    <w:p>
      <w:r>
        <w:t xml:space="preserve">teiligten zu 1 und 2 und der Hamburg-Mannheimer von ehezeitlichen (1. Sep-</w:t>
      </w:r>
    </w:p>
    <w:p>
      <w:r>
        <w:t xml:space="preserve">tember 1976 bis 31. Dezember 2002; § 1587 Abs. 2 BGB) Anwartschaften der</w:t>
      </w:r>
    </w:p>
    <w:p>
      <w:r>
        <w:t xml:space="preserve">Parteien in der gesetzlichen Rentenversicherung bei der BfA, jeweils monatlich</w:t>
      </w:r>
    </w:p>
    <w:p>
      <w:r>
        <w:t xml:space="preserve">und bezogen auf das Ende der Ehezeit, in Höhe von 175,07 € für die Antrag-</w:t>
      </w:r>
    </w:p>
    <w:p>
      <w:r>
        <w:t xml:space="preserve">stellerin und 815,17 € für den Antragsgegner sowie für die Antragstellerin in</w:t>
      </w:r>
    </w:p>
    <w:p>
      <w:r>
        <w:t xml:space="preserve">Höhe von monatlich (dynamisiert) 0,90 € bei der Hambur g-Mannheimer ausge-</w:t>
      </w:r>
    </w:p>
    <w:p>
      <w:r>
        <w:t xml:space="preserve">gangen. Die für den Antragsgegner bei der VBL bestehenden Anwartschaften</w:t>
      </w:r>
    </w:p>
    <w:p>
      <w:r>
        <w:t xml:space="preserve">hat das Oberlandesgericht als im Anwartschaftsstadium statisch und im Lei-</w:t>
      </w:r>
    </w:p>
    <w:p>
      <w:r>
        <w:t xml:space="preserve">stungsstadium dynamisch bewertet und nach entsprechender Dynamisierung</w:t>
      </w:r>
    </w:p>
    <w:p>
      <w:r>
        <w:t xml:space="preserve">anhand der Barwert-Verordnung für den Antragsgegner monatlich 94,86 € dem</w:t>
      </w:r>
    </w:p>
    <w:p>
      <w:r>
        <w:t xml:space="preserve">Versorgungsausgleich zugrunde gelegt.</w:t>
      </w:r>
    </w:p>
    <w:p>
      <w:r>
        <w:t xml:space="preserve">Mit der zugelassenen Rechtsbeschwerde möchte die VBL die bei ihr be-</w:t>
      </w:r>
    </w:p>
    <w:p>
      <w:r>
        <w:t xml:space="preserve">stehenden Anrechte des Antragsgegners insgesamt als statisch qualifiziert wis-</w:t>
      </w:r>
    </w:p>
    <w:p>
      <w:r>
        <w:t xml:space="preserve">sen. Die Parteien und die BfA haben sich im Rechtsbeschwerdeverfahren nicht</w:t>
      </w:r>
    </w:p>
    <w:p>
      <w:r>
        <w:t xml:space="preserve">geäußert.</w:t>
      </w:r>
    </w:p>
    <w:p>
      <w:r>
        <w:t xml:space="preserve">II.</w:t>
      </w:r>
    </w:p>
    <w:p>
      <w:r>
        <w:t xml:space="preserve">Die nach §§ 629 a Abs. 2 Satz 1, 621 e Abs. 2 Satz 1 1. Halbs. Nr. 1,</w:t>
      </w:r>
    </w:p>
    <w:p>
      <w:r>
        <w:t xml:space="preserve">2. Halbs. i.V. mit § 543 Abs. 2 ZPO zulässige Rechtsbeschwerde der VBL ist</w:t>
      </w:r>
    </w:p>
    <w:p>
      <w:r>
        <w:t xml:space="preserve">nicht begründet.</w:t>
      </w:r>
    </w:p>
    <w:p>
      <w:r>
        <w:t xml:space="preserve">Das Oberlandesgericht hat die für den Antragsgegner bei der VBL be-</w:t>
      </w:r>
    </w:p>
    <w:p>
      <w:r>
        <w:t xml:space="preserve">stehenden Anwartschaften als im Anwartschaftsstadium statisch und im Lei-</w:t>
      </w:r>
    </w:p>
    <w:p>
      <w:r>
        <w:t xml:space="preserve">stungsstadium volldynamisch beurteilt. Dies ist entgegen der Auffassung der</w:t>
      </w:r>
    </w:p>
    <w:p>
      <w:r>
        <w:t xml:space="preserve">Rechtsbeschwerdeführerin rechtlich nicht zu beanstanden. Der Senat hat zwi-</w:t>
      </w:r>
    </w:p>
    <w:p>
      <w:r>
        <w:t xml:space="preserve">schenzeitlich entschieden, daß die Versorgungsanrechte aus der Zusatzversor-</w:t>
      </w:r>
    </w:p>
    <w:p>
      <w:r>
        <w:t xml:space="preserve">gung des öffentlichen Dienstes bei der VBL nach der Neufassung der Satzung</w:t>
      </w:r>
    </w:p>
    <w:p>
      <w:r>
        <w:t xml:space="preserve">zum 1. Januar 2002 als im Anwartschaftsstadium statisch und im Leistungssta-</w:t>
      </w:r>
    </w:p>
    <w:p>
      <w:r>
        <w:t xml:space="preserve">dium dynamisch zu bewerten sind (vgl. Senatsbeschluß vom 7. Juli 2004</w:t>
      </w:r>
    </w:p>
    <w:p>
      <w:r>
        <w:t xml:space="preserve">- XII ZB 277/03 - zur Veröffentlichung bestimmt; ein Abdruck des Beschlusses</w:t>
      </w:r>
    </w:p>
    <w:p>
      <w:r>
        <w:t xml:space="preserve">ist in der Anlage beigefügt).</w:t>
      </w:r>
    </w:p>
    <w:p>
      <w:r>
        <w:t xml:space="preserve">Hahne</w:t>
      </w:r>
    </w:p>
    <w:p>
      <w:r>
        <w:t xml:space="preserve">Sprick</w:t>
      </w:r>
    </w:p>
    <w:p>
      <w:r>
        <w:t xml:space="preserve">Wagenitz</w:t>
      </w:r>
    </w:p>
    <w:p>
      <w:r>
        <w:t xml:space="preserve">Vézina</w:t>
      </w:r>
    </w:p>
    <w:p>
      <w:r>
        <w:t xml:space="preserve">Dose</w:t>
      </w:r>
    </w:p>
    <w:p>
      <w:r>
        <w:rPr>
          <w:color w:val="555555"/>
          <w:sz w:val="17"/>
        </w:rPr>
        <w:t xml:space="preserve">Zitiervorschlag: BGH, Beschluss vom 04.08.2004 – XII ZB 75/04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https://recht.nulegal.eu/rechtsprechung/bgh/2004-08-04/xii-zb-75-04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