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Urteil vom 29.07.2004 – 3 StR 65/04</w:t>
      </w:r>
    </w:p>
    <w:p>
      <w:r>
        <w:rPr>
          <w:color w:val="555555"/>
          <w:sz w:val="18"/>
        </w:rPr>
        <w:t xml:space="preserve">3. Strafsenat</w:t>
      </w:r>
    </w:p>
    <w:p>
      <w:r>
        <w:t xml:space="preserve">BUNDESGERICHTSHOF</w:t>
      </w:r>
    </w:p>
    <w:p>
      <w:r>
        <w:t xml:space="preserve">IM NAMEN DES VOLKES</w:t>
      </w:r>
    </w:p>
    <w:p>
      <w:r>
        <w:t xml:space="preserve">3 StR 65/04</w:t>
      </w:r>
    </w:p>
    <w:p>
      <w:pPr>
        <w:pStyle w:val="Heading2"/>
      </w:pPr>
      <w:r>
        <w:t xml:space="preserve">URTEIL</w:t>
      </w:r>
    </w:p>
    <w:p>
      <w:r>
        <w:t xml:space="preserve">vom</w:t>
      </w:r>
    </w:p>
    <w:p>
      <w:r>
        <w:t xml:space="preserve">29. Juli 2004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sexuellen Mißbrauchs von Kindern u. a.</w:t>
      </w:r>
    </w:p>
    <w:p>
      <w:r>
        <w:t xml:space="preserve">Der 3. Strafsenat des Bundesgerichtshofs hat in der Sitzung vom 29. Juli 2004,</w:t>
      </w:r>
    </w:p>
    <w:p>
      <w:r>
        <w:t xml:space="preserve">an der teilgenommen haben:</w:t>
      </w:r>
    </w:p>
    <w:p>
      <w:r>
        <w:t xml:space="preserve">Vorsitzender Richter am Bundesgerichtshof</w:t>
      </w:r>
    </w:p>
    <w:p>
      <w:r>
        <w:t xml:space="preserve">Prof. Dr. Tolksdorf,</w:t>
      </w:r>
    </w:p>
    <w:p>
      <w:r>
        <w:t xml:space="preserve">die Richter am Bundesgerichtshof</w:t>
      </w:r>
    </w:p>
    <w:p>
      <w:r>
        <w:t xml:space="preserve">Dr. Miebach,</w:t>
      </w:r>
    </w:p>
    <w:p>
      <w:r>
        <w:t xml:space="preserve">von Lienen,</w:t>
      </w:r>
    </w:p>
    <w:p>
      <w:r>
        <w:t xml:space="preserve">Becker,</w:t>
      </w:r>
    </w:p>
    <w:p>
      <w:r>
        <w:t xml:space="preserve">Hubert</w:t>
      </w:r>
    </w:p>
    <w:p>
      <w:r>
        <w:t xml:space="preserve">als beisitzende Richter,</w:t>
      </w:r>
    </w:p>
    <w:p>
      <w:r>
        <w:t xml:space="preserve">Staatsanwältin</w:t>
      </w:r>
    </w:p>
    <w:p>
      <w:r>
        <w:t xml:space="preserve">als Vertreterin der Bundesanwaltschaft,</w:t>
      </w:r>
    </w:p>
    <w:p>
      <w:r>
        <w:t xml:space="preserve">Justizamtsinspektor</w:t>
      </w:r>
    </w:p>
    <w:p>
      <w:r>
        <w:t xml:space="preserve">als Urkundsbeamter der Geschäftsstelle,</w:t>
      </w:r>
    </w:p>
    <w:p>
      <w:r>
        <w:t xml:space="preserve">für Recht erkannt:</w:t>
      </w:r>
    </w:p>
    <w:p>
      <w:r>
        <w:t xml:space="preserve">1. Auf die Revision des Angeklagten gegen das Urteil des Land-</w:t>
      </w:r>
    </w:p>
    <w:p>
      <w:r>
        <w:t xml:space="preserve">gerichts Wuppertal vom 25. September 2003 wird</w:t>
      </w:r>
    </w:p>
    <w:p>
      <w:r>
        <w:t xml:space="preserve">a) das Verfahren in den Fällen II. 1., 2.2 (Taten 1 und 2 zum</w:t>
      </w:r>
    </w:p>
    <w:p>
      <w:r>
        <w:t xml:space="preserve">Nachteil Nathalia K. ) und 4. (Tat zum Nachteil</w:t>
      </w:r>
    </w:p>
    <w:p>
      <w:r>
        <w:t xml:space="preserve">Sarah K. ) gemäß § 154 Abs. 1 Nr. 1, Abs. 2</w:t>
      </w:r>
    </w:p>
    <w:p>
      <w:r>
        <w:t xml:space="preserve">StPO eingestellt;</w:t>
      </w:r>
    </w:p>
    <w:p>
      <w:r>
        <w:t xml:space="preserve">im Umfang der Einstellung fallen die Kosten des Verfah-</w:t>
      </w:r>
    </w:p>
    <w:p>
      <w:r>
        <w:t xml:space="preserve">rens und die notwendigen Auslagen des Angeklagten der</w:t>
      </w:r>
    </w:p>
    <w:p>
      <w:r>
        <w:t xml:space="preserve">Staatskasse zur Last;</w:t>
      </w:r>
    </w:p>
    <w:p>
      <w:r>
        <w:t xml:space="preserve">b) das vorgenannte Urteil im Schuldspruch dahin geändert,</w:t>
      </w:r>
    </w:p>
    <w:p>
      <w:r>
        <w:t xml:space="preserve">daß der Angeklagte des sexuellen Mißbrauchs eines Kin-</w:t>
      </w:r>
    </w:p>
    <w:p>
      <w:r>
        <w:t xml:space="preserve">des in Tateinheit mit sexuellem Mißbrauch einer Schutzbe-</w:t>
      </w:r>
    </w:p>
    <w:p>
      <w:r>
        <w:t xml:space="preserve">fohlenen in 32 Fällen schuldig ist.</w:t>
      </w:r>
    </w:p>
    <w:p>
      <w:r>
        <w:t xml:space="preserve">2. Die weitergehende Revision wird verworfen.</w:t>
      </w:r>
    </w:p>
    <w:p>
      <w:r>
        <w:t xml:space="preserve">3. Der Beschwerdeführer hat die verbleibenden Kosten seines</w:t>
      </w:r>
    </w:p>
    <w:p>
      <w:r>
        <w:t xml:space="preserve">Rechtsmittels zu tragen.</w:t>
      </w:r>
    </w:p>
    <w:p>
      <w:r>
        <w:t xml:space="preserve">Von Rechts wegen</w:t>
      </w:r>
    </w:p>
    <w:p>
      <w:pPr>
        <w:pStyle w:val="Heading2"/>
      </w:pPr>
      <w:r>
        <w:t xml:space="preserve">Gründe</w:t>
      </w:r>
    </w:p>
    <w:p>
      <w:r>
        <w:t xml:space="preserve">Das Landgericht hat den Angeklagten wegen sexuellen Mißbrauchs von</w:t>
      </w:r>
    </w:p>
    <w:p>
      <w:r>
        <w:t xml:space="preserve">Kindern in Tateinheit mit sexuellem Mißbrauch von Schutzbefohlenen in 35</w:t>
      </w:r>
    </w:p>
    <w:p>
      <w:r>
        <w:t xml:space="preserve">Fällen zur Gesamtfreiheitsstrafe von drei Jahren und sechs Monaten verurteilt.</w:t>
      </w:r>
    </w:p>
    <w:p>
      <w:r>
        <w:t xml:space="preserve">Mit seiner Revision rügt der Angeklagte allgemein die Verletzung sachlichen</w:t>
      </w:r>
    </w:p>
    <w:p>
      <w:r>
        <w:t xml:space="preserve">Rechts. Das Rechtsmittel hat lediglich den aus der Urteilsformel ersichtlichen</w:t>
      </w:r>
    </w:p>
    <w:p>
      <w:r>
        <w:t xml:space="preserve">Teilerfolg.</w:t>
      </w:r>
    </w:p>
    <w:p>
      <w:r>
        <w:t xml:space="preserve">Soweit der Angeklagte wegen der nach der Teileinstellung durch den</w:t>
      </w:r>
    </w:p>
    <w:p>
      <w:r>
        <w:t xml:space="preserve">Senat verbliebenen Taten, die jedenfalls nach dem 4. September 1997 began-</w:t>
      </w:r>
    </w:p>
    <w:p>
      <w:r>
        <w:t xml:space="preserve">gen worden sind, tateinheitlich wegen sexuellen Mißbrauchs einer Schutzbe-</w:t>
      </w:r>
    </w:p>
    <w:p>
      <w:r>
        <w:t xml:space="preserve">fohlenen (§ 174 Abs. 1 Nr. 3 StGB) verurteilt worden ist, ist die Verfolgung un-</w:t>
      </w:r>
    </w:p>
    <w:p>
      <w:r>
        <w:t xml:space="preserve">ter diesem rechtlichen Gesichtspunkt nicht des Eintritts der Verjährung wegen</w:t>
      </w:r>
    </w:p>
    <w:p>
      <w:r>
        <w:t xml:space="preserve">gehindert. Denn die frühestens am 5. September 1997 beginnende, nach § 78</w:t>
      </w:r>
    </w:p>
    <w:p>
      <w:r>
        <w:t xml:space="preserve">Abs. 3 Nr. 4 StGB fünfjährige Verjährungsfrist ist durch die am 4. September</w:t>
      </w:r>
    </w:p>
    <w:p>
      <w:r>
        <w:t xml:space="preserve">2002 unterzeichnete und am folgenden Tag abgefertigte schriftliche Anordnung</w:t>
      </w:r>
    </w:p>
    <w:p>
      <w:r>
        <w:t xml:space="preserve">der Mitteilung des ermittlungsrichterlichen Vernehmungstermins der Tochter</w:t>
      </w:r>
    </w:p>
    <w:p>
      <w:r>
        <w:t xml:space="preserve">des Angeklagten Nathalia als Zeugin unterbrochen worden. Diese Terminsmit-</w:t>
      </w:r>
    </w:p>
    <w:p>
      <w:r>
        <w:t xml:space="preserve">teilung hat dem Angeklagten die Einleitung des gegen ihn gerichteten Ermitt-</w:t>
      </w:r>
    </w:p>
    <w:p>
      <w:r>
        <w:t xml:space="preserve">lungsverfahrens bekanntgegeben (§ 78 c Abs. 1 Nr. 1, Abs. 2 StGB).</w:t>
      </w:r>
    </w:p>
    <w:p>
      <w:r>
        <w:t xml:space="preserve">Dem steht nicht entgegen, daß die schriftliche Terminsmitteilung formlos</w:t>
      </w:r>
    </w:p>
    <w:p>
      <w:r>
        <w:t xml:space="preserve">erfolgt ist und den Gegenstand der Ermittlungen nicht ausdrücklich bezeichnet</w:t>
      </w:r>
    </w:p>
    <w:p>
      <w:r>
        <w:t xml:space="preserve">hat. Denn für die Bekanntgabe sind keine bestimmte Form und kein bestimmter</w:t>
      </w:r>
    </w:p>
    <w:p>
      <w:r>
        <w:t xml:space="preserve">Inhalt vorgeschrieben. Der Beschuldigte muß allerdings ersehen können, daß</w:t>
      </w:r>
    </w:p>
    <w:p>
      <w:r>
        <w:t xml:space="preserve">und weshalb ein Ermittlungsverfahren gegen ihn eingeleitet worden ist (vgl.</w:t>
      </w:r>
    </w:p>
    <w:p>
      <w:r>
        <w:t xml:space="preserve">BGHSt 30, 215, 217). Dies kann sich auch aus der Eindeutigkeit der gegen den</w:t>
      </w:r>
    </w:p>
    <w:p>
      <w:r>
        <w:t xml:space="preserve">Beschuldigten ergriffenen Maßnahme ergeben (vgl. Stree/Sternberg-Lieben in</w:t>
      </w:r>
    </w:p>
    <w:p>
      <w:r>
        <w:t xml:space="preserve">Schönke/Schröder, StGB 26. Aufl. § 78 c Rdn. 7 m. w. N.). Daß die Terminsmit-</w:t>
      </w:r>
    </w:p>
    <w:p>
      <w:r>
        <w:t xml:space="preserve">teilung hier den Erfordernissen einer Bekanntgabe entsprochen hat, entnimmt</w:t>
      </w:r>
    </w:p>
    <w:p>
      <w:r>
        <w:t xml:space="preserve">der Senat dem Ergebnis seiner im Freibeweis durchgeführten Erhebungen und</w:t>
      </w:r>
    </w:p>
    <w:p>
      <w:r>
        <w:t xml:space="preserve">den Feststellungen des angefochtenen Urteils.</w:t>
      </w:r>
    </w:p>
    <w:p>
      <w:r>
        <w:t xml:space="preserve">Die Terminsmitteilung hat den Angeklagten darüber ins Bild gesetzt, daß</w:t>
      </w:r>
    </w:p>
    <w:p>
      <w:r>
        <w:t xml:space="preserve">gegen ihn ein Ermittlungsverfahren eingeleitet worden ist. Der tatsächliche In-</w:t>
      </w:r>
    </w:p>
    <w:p>
      <w:r>
        <w:t xml:space="preserve">halt der damaligen Terminsmitteilung war zwar im einzelnen nicht zu ermitteln.</w:t>
      </w:r>
    </w:p>
    <w:p>
      <w:r>
        <w:t xml:space="preserve">Aus dem Wortlaut des vom Amtsgericht Wuppertal übersandten Musters ge-</w:t>
      </w:r>
    </w:p>
    <w:p>
      <w:r>
        <w:t xml:space="preserve">genwärtig versandter Terminsmitteilungen ergibt sich die Einleitung eines Er-</w:t>
      </w:r>
    </w:p>
    <w:p>
      <w:r>
        <w:t xml:space="preserve">mittlungsverfahrens gegen den jeweiligen Empfänger indes eindeutig ("Ermitt-</w:t>
      </w:r>
    </w:p>
    <w:p>
      <w:r>
        <w:t xml:space="preserve">lungsverfahren ./. Sie"). Daß die im vorliegenden Verfahren gefertigte Mittei-</w:t>
      </w:r>
    </w:p>
    <w:p>
      <w:r>
        <w:t xml:space="preserve">lung denselben oder einen entsprechenden Inhalt hatte, liegt nahe und ergibt</w:t>
      </w:r>
    </w:p>
    <w:p>
      <w:r>
        <w:t xml:space="preserve">sich</w:t>
      </w:r>
    </w:p>
    <w:p>
      <w:r>
        <w:t xml:space="preserve">im übrigen daraus, daß der Schriftsatz des Verteidigers vom</w:t>
      </w:r>
    </w:p>
    <w:p>
      <w:r>
        <w:t xml:space="preserve">12. September 2002, mit dem er - unter Vorlage einer handschriftlichen Voll-</w:t>
      </w:r>
    </w:p>
    <w:p>
      <w:r>
        <w:t xml:space="preserve">macht des Angeklagten vom 10. September 2002 - Akteneinsicht beantragt hat,</w:t>
      </w:r>
    </w:p>
    <w:p>
      <w:r>
        <w:t xml:space="preserve">den Betreff enthält:</w:t>
      </w:r>
    </w:p>
    <w:p>
      <w:r>
        <w:t xml:space="preserve">"In dem Ermittlungsverfahren gegen Bernd-Uwe</w:t>
      </w:r>
    </w:p>
    <w:p>
      <w:r>
        <w:t xml:space="preserve">K. ".</w:t>
      </w:r>
    </w:p>
    <w:p>
      <w:r>
        <w:t xml:space="preserve">Die Mitteilung der anberaumten Vernehmung seiner Tochter Nathalia als</w:t>
      </w:r>
    </w:p>
    <w:p>
      <w:r>
        <w:t xml:space="preserve">Zeugin hat dem Angeklagten auch deutlich gemacht, welche Handlungen Ge-</w:t>
      </w:r>
    </w:p>
    <w:p>
      <w:r>
        <w:t xml:space="preserve">genstand der geführten Ermittlungen waren. Daß sich die Verfahrenseinleitung</w:t>
      </w:r>
    </w:p>
    <w:p>
      <w:r>
        <w:t xml:space="preserve">und die Strafverfolgung auf die von ihm an seiner Tochter Nathalia begange-</w:t>
      </w:r>
    </w:p>
    <w:p>
      <w:r>
        <w:t xml:space="preserve">nen Sexualstraftaten beziehen, war für den Angeklagten aufgrund der ihm zum</w:t>
      </w:r>
    </w:p>
    <w:p>
      <w:r>
        <w:t xml:space="preserve">Zeitpunkt der Mitteilung bekannten konkreten Einzelumstände des Falles of-</w:t>
      </w:r>
    </w:p>
    <w:p>
      <w:r>
        <w:t xml:space="preserve">fensichtlich: Die Feststellungen des angefochtenen Urteils ergeben insoweit,</w:t>
      </w:r>
    </w:p>
    <w:p>
      <w:r>
        <w:t xml:space="preserve">daß dem Angeklagten die Aufdeckung seiner Mißbrauchstaten bekannt wurde,</w:t>
      </w:r>
    </w:p>
    <w:p>
      <w:r>
        <w:t xml:space="preserve">dem Angeklagten die Aufdeckung seiner Mißbrauchstaten bekannt wurde, un-</w:t>
      </w:r>
    </w:p>
    <w:p>
      <w:r>
        <w:t xml:space="preserve">mittelbar nachdem sich Nathalia gegenüber ihrer Mutter offenbart hatte. Die</w:t>
      </w:r>
    </w:p>
    <w:p>
      <w:r>
        <w:t xml:space="preserve">nachfolgenden, mehrere Monate andauernd bestehenden Probleme des Zu-</w:t>
      </w:r>
    </w:p>
    <w:p>
      <w:r>
        <w:t xml:space="preserve">sammenlebens führten schließlich dazu, daß der Angeklagte - eine entspre-</w:t>
      </w:r>
    </w:p>
    <w:p>
      <w:r>
        <w:t xml:space="preserve">chende Bedingung seiner zwischenzeitlich ausgezogenen Tochter Nathalia für</w:t>
      </w:r>
    </w:p>
    <w:p>
      <w:r>
        <w:t xml:space="preserve">ihre Rückkehr erfüllend - im Juni 2002 die Familienwohnung verließ. Vor die-</w:t>
      </w:r>
    </w:p>
    <w:p>
      <w:r>
        <w:t xml:space="preserve">sem Hintergrund war für den Angeklagten aus der wenig später erfolgten Mit-</w:t>
      </w:r>
    </w:p>
    <w:p>
      <w:r>
        <w:t xml:space="preserve">teilung der ermittlungsrichterlichen Vernehmung dieser Tochter - auch weil ein</w:t>
      </w:r>
    </w:p>
    <w:p>
      <w:r>
        <w:t xml:space="preserve">anderer Vernehmungsgegenstand nicht in Betracht kam - hinreichend klar er-</w:t>
      </w:r>
    </w:p>
    <w:p>
      <w:r>
        <w:t xml:space="preserve">sichtlich, wegen welcher Handlungen gegen ihn ermittelt wurde.</w:t>
      </w:r>
    </w:p>
    <w:p>
      <w:r>
        <w:t xml:space="preserve">Der Verfolgungswille der Strafverfolgungsorgane hat sich zum Zeitpunkt</w:t>
      </w:r>
    </w:p>
    <w:p>
      <w:r>
        <w:t xml:space="preserve">der Anordnung der Terminsmitteilung auf alle abgeurteilten sexuellen Miß-</w:t>
      </w:r>
    </w:p>
    <w:p>
      <w:r>
        <w:t xml:space="preserve">brauchstaten zum Nachteil der Tochter Nathalia erstreckt. Dies ergibt sich aus</w:t>
      </w:r>
    </w:p>
    <w:p>
      <w:r>
        <w:t xml:space="preserve">dem Sach- und Verfahrenszusammenhang, zu dessen Auslegung der Aktenin-</w:t>
      </w:r>
    </w:p>
    <w:p>
      <w:r>
        <w:t xml:space="preserve">halt heranzuziehen ist (vgl. BGH NStZ 2000, 427). Den Protokollen der voran-</w:t>
      </w:r>
    </w:p>
    <w:p>
      <w:r>
        <w:t xml:space="preserve">gegangenen polizeilichen Vernehmungen der Zeugin Nathalia K.</w:t>
      </w:r>
    </w:p>
    <w:p>
      <w:r>
        <w:t xml:space="preserve">und ihrer Mutter ist neben der Schilderung einzelner Taten auch zu entneh-</w:t>
      </w:r>
    </w:p>
    <w:p>
      <w:r>
        <w:t xml:space="preserve">men, daß der Angeklagte darüber hinaus verdächtig war, im Zeitraum von etwa</w:t>
      </w:r>
    </w:p>
    <w:p>
      <w:r>
        <w:t xml:space="preserve">Juli 1997 bis Anfang des Jahres 2001 eine Vielzahl sexueller Mißbrauchshand-</w:t>
      </w:r>
    </w:p>
    <w:p>
      <w:r>
        <w:t xml:space="preserve">lungen zum Nachteil seiner Tochter Nathalia begangen zu haben. Da sich die</w:t>
      </w:r>
    </w:p>
    <w:p>
      <w:r>
        <w:t xml:space="preserve">Unterbrechungswirkung der Bekanntgabe in der Regel auf die gesamte Tat im</w:t>
      </w:r>
    </w:p>
    <w:p>
      <w:r>
        <w:t xml:space="preserve">prozessualen Sinn (§§ 155, 264 StPO) sowie auf alle weiteren in demselben</w:t>
      </w:r>
    </w:p>
    <w:p>
      <w:r>
        <w:t xml:space="preserve">Verfahren verfolgten Taten erstreckt und Anhaltspunkte für die Begrenzung der</w:t>
      </w:r>
    </w:p>
    <w:p>
      <w:r>
        <w:t xml:space="preserve">Unterbrechungshandlung auf einzelne Taten nicht bestehen, hat sich die Un-</w:t>
      </w:r>
    </w:p>
    <w:p>
      <w:r>
        <w:t xml:space="preserve">terbrechungswirkung hier ihrem sachlichen Umfang nach auf alle abgeurteilten</w:t>
      </w:r>
    </w:p>
    <w:p>
      <w:r>
        <w:t xml:space="preserve">Taten des sexuellen Mißbrauchs von Schutzbefohlenen bezogen (vgl. BGH</w:t>
      </w:r>
    </w:p>
    <w:p>
      <w:r>
        <w:t xml:space="preserve">NStZ 2001, 191; BGHR StGB § 78 c Abs. 1 Handlung 5).</w:t>
      </w:r>
    </w:p>
    <w:p>
      <w:r>
        <w:t xml:space="preserve">Die Überprüfung des angefochtenen Urteils aufgrund der allgemeinen</w:t>
      </w:r>
    </w:p>
    <w:p>
      <w:r>
        <w:t xml:space="preserve">Sachrüge hat keinen den Angeklagten beschwerenden Rechtsfehler ergeben.</w:t>
      </w:r>
    </w:p>
    <w:p>
      <w:r>
        <w:t xml:space="preserve">Der Senat schließt angesichts der verbleibenden Einzelstrafen (21mal</w:t>
      </w:r>
    </w:p>
    <w:p>
      <w:r>
        <w:t xml:space="preserve">zwei Jahre und sechs Monate, siebenmal ein Jahr und sechs Monate sowie</w:t>
      </w:r>
    </w:p>
    <w:p>
      <w:r>
        <w:t xml:space="preserve">viermal ein Jahr Freiheitsstrafe) und des bei der Gesamtstrafenbildung vorge-</w:t>
      </w:r>
    </w:p>
    <w:p>
      <w:r>
        <w:t xml:space="preserve">nommenen überaus straffen Zusammenzugs aus, daß das Landgericht ohne</w:t>
      </w:r>
    </w:p>
    <w:p>
      <w:r>
        <w:t xml:space="preserve">die in den eingestellten Fällen verhängten drei Einzelstrafen (acht Monate, ein</w:t>
      </w:r>
    </w:p>
    <w:p>
      <w:r>
        <w:t xml:space="preserve">Jahr sowie ein Jahr und vier Monate Freiheitsstrafe) zu einer niedrigeren Ge-</w:t>
      </w:r>
    </w:p>
    <w:p>
      <w:r>
        <w:t xml:space="preserve">samtfreiheitsstrafe gelangt wäre. Die festgesetzte Gesamtfreiheitsstrafe kann</w:t>
      </w:r>
    </w:p>
    <w:p>
      <w:r>
        <w:t xml:space="preserve">daher entsprechend dem Antrag des Generalbundesanwalts - auch unter Be-</w:t>
      </w:r>
    </w:p>
    <w:p>
      <w:r>
        <w:t xml:space="preserve">rücksichtigung der Entscheidung des Bundesverfassungsgerichts vom</w:t>
      </w:r>
    </w:p>
    <w:p>
      <w:r>
        <w:t xml:space="preserve">7. Januar 2004 (wistra 2004, 137) - bestehen bleiben.</w:t>
      </w:r>
    </w:p>
    <w:p>
      <w:r>
        <w:t xml:space="preserve">Tolksdorf Miebach von Lienen</w:t>
      </w:r>
    </w:p>
    <w:p>
      <w:r>
        <w:t xml:space="preserve">Becker Hubert</w:t>
      </w:r>
    </w:p>
    <w:p>
      <w:r>
        <w:rPr>
          <w:color w:val="555555"/>
          <w:sz w:val="17"/>
        </w:rPr>
        <w:t xml:space="preserve">Zitiervorschlag: BGH, Urteil vom 29.07.2004 – 3 StR 65/04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https://recht.nulegal.eu/rechtsprechung/bgh/2004-07-29/3-str-65-04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