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Beschluß vom 28.07.2004 – 2 ARs 247/04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247/04 2 AR 141/04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28. Juli 2004</w:t>
      </w:r>
    </w:p>
    <w:p>
      <w:r>
        <w:t xml:space="preserve">in der Strafvollstreckungssache</w:t>
      </w:r>
    </w:p>
    <w:p>
      <w:r>
        <w:t xml:space="preserve">gegen</w:t>
      </w:r>
    </w:p>
    <w:p>
      <w:r>
        <w:t xml:space="preserve">wegen Diebstahls im besonders schweren Fall</w:t>
      </w:r>
    </w:p>
    <w:p>
      <w:r>
        <w:t xml:space="preserve">Az.: 62 Js 310/98 V Staatsanwaltschaft Bielefeld Az.: 3 Ds 62 Js 310/98 - AK 1189/99 Amtsgericht Gütersloh Az.: StVK 910/03 Landgericht Frankenthal (Pfalz) Az.: 8 StVK 572/03 + 8 StVK 193/03 Landgericht Mainz Az.: 3 AR 995/04 Generalstaatsanwaltschaft Hamm</w:t>
      </w:r>
    </w:p>
    <w:p>
      <w:r>
        <w:t xml:space="preserve">Der 2. Strafsenat des Bundesgerichtshofs hat nach Anhörung des Generalbun-</w:t>
      </w:r>
    </w:p>
    <w:p>
      <w:r>
        <w:t xml:space="preserve">desanwalts am 28. Juli 2004 beschlossen:</w:t>
      </w:r>
    </w:p>
    <w:p>
      <w:r>
        <w:t xml:space="preserve">Für die Entscheidung über den Widerruf der Aussetzung der Voll-</w:t>
      </w:r>
    </w:p>
    <w:p>
      <w:r>
        <w:t xml:space="preserve">streckung aus dem Urteil des Amtsgerichts Gütersloh vom</w:t>
      </w:r>
    </w:p>
    <w:p>
      <w:r>
        <w:t xml:space="preserve">28. Februar 2000 ist die Strafvollstreckungskammer des Landge-</w:t>
      </w:r>
    </w:p>
    <w:p>
      <w:r>
        <w:t xml:space="preserve">richts Mainz zuständig.</w:t>
      </w:r>
    </w:p>
    <w:p>
      <w:pPr>
        <w:pStyle w:val="Heading2"/>
      </w:pPr>
      <w:r>
        <w:t xml:space="preserve">Gründe</w:t>
      </w:r>
    </w:p>
    <w:p>
      <w:r>
        <w:t xml:space="preserve">Der Generalbundesanwalt hat in seiner Zuschrift an den Senat ausge-</w:t>
      </w:r>
    </w:p>
    <w:p>
      <w:r>
        <w:t xml:space="preserve">führt:</w:t>
      </w:r>
    </w:p>
    <w:p>
      <w:r>
        <w:t xml:space="preserve">"Über den Antrag der Staatsanwaltschaft Bielefeld vom 5. März 2003</w:t>
      </w:r>
    </w:p>
    <w:p>
      <w:r>
        <w:t xml:space="preserve">hatte ursprünglich das Amtsgericht Gütersloh als Gericht der ersten Instanz zu</w:t>
      </w:r>
    </w:p>
    <w:p>
      <w:r>
        <w:t xml:space="preserve">entscheiden, da sich der Verurteilte bei Eingang am 7. März 2003 noch in U-</w:t>
      </w:r>
    </w:p>
    <w:p>
      <w:r>
        <w:t xml:space="preserve">Haft befand (§ 462 a Abs. 2 Satz 1 StPO). Am 26. Mai 2003, dem Zeitpunkt der</w:t>
      </w:r>
    </w:p>
    <w:p>
      <w:r>
        <w:t xml:space="preserve">Rechtskraft des Urteils des Landgerichts Bad Kreuznach, ging die Zuständig-</w:t>
      </w:r>
    </w:p>
    <w:p>
      <w:r>
        <w:t xml:space="preserve">keit jedoch auf eine Strafvollstreckungskammer über (BGHSt 26, 187, 189). Zu</w:t>
      </w:r>
    </w:p>
    <w:p>
      <w:r>
        <w:t xml:space="preserve">diesem Zeitpunkt war der Verurteilte in der JVA Rohrbach, die sich im Bezirk</w:t>
      </w:r>
    </w:p>
    <w:p>
      <w:r>
        <w:t xml:space="preserve">der Strafvollstreckungskammer Mainz befand, zum Zwecke der Vollstreckung</w:t>
      </w:r>
    </w:p>
    <w:p>
      <w:r>
        <w:t xml:space="preserve">aufgenommen im Sinne des § 462 a Abs. 1 Satz 1 StPO. Bei Übergang von U-</w:t>
      </w:r>
    </w:p>
    <w:p>
      <w:r>
        <w:t xml:space="preserve">Haft in Strafhaft ist der Tag der Rechtskraft des Urteils zur Bestimmung des</w:t>
      </w:r>
    </w:p>
    <w:p>
      <w:r>
        <w:t xml:space="preserve">Aufnahmetags maßgebend (BGHSt 27, 302, 304), auch wenn eine Verlegung</w:t>
      </w:r>
    </w:p>
    <w:p>
      <w:r>
        <w:t xml:space="preserve">in die nach dem Vollstreckungsplan zuständige JVA zu erwarten ist (BGHSt 38,</w:t>
      </w:r>
    </w:p>
    <w:p>
      <w:r>
        <w:t xml:space="preserve">63). Der Verurteilte war in der JVA Rohrbach nicht nur "vorübergehend" etwa in</w:t>
      </w:r>
    </w:p>
    <w:p>
      <w:r>
        <w:t xml:space="preserve">der Art eines Zwischenaufenthalts anläßlich einer Verschubung oder einer not-</w:t>
      </w:r>
    </w:p>
    <w:p>
      <w:r>
        <w:t xml:space="preserve">wendigen medizinischen Untersuchung, sondern zur Verbüßung seiner Strafe</w:t>
      </w:r>
    </w:p>
    <w:p>
      <w:r>
        <w:t xml:space="preserve">(BGH, Beschluß vom 18. Juni 1980, 2 ARs 156/80). Die spätere Verlegung des</w:t>
      </w:r>
    </w:p>
    <w:p>
      <w:r>
        <w:t xml:space="preserve">Verurteilten am 17. Juni 2003 in die JVA Frankenthal hat nicht zu einem</w:t>
      </w:r>
    </w:p>
    <w:p>
      <w:r>
        <w:t xml:space="preserve">Wechsel der örtlichen Zuständigkeit geführt. Das Befaßtsein der Straf-</w:t>
      </w:r>
    </w:p>
    <w:p>
      <w:r>
        <w:t xml:space="preserve">vollstreckungskammer des Landgerichts Mainz endet erst, wenn diese in der</w:t>
      </w:r>
    </w:p>
    <w:p>
      <w:r>
        <w:t xml:space="preserve">Sache abschließend entschieden hat (BGHSt 26, 165; 178, 179)."</w:t>
      </w:r>
    </w:p>
    <w:p>
      <w:r>
        <w:t xml:space="preserve">Dem tritt der Senat bei.</w:t>
      </w:r>
    </w:p>
    <w:p>
      <w:r>
        <w:t xml:space="preserve">Rissing-van Saan Detter Bode</w:t>
      </w:r>
    </w:p>
    <w:p>
      <w:r>
        <w:t xml:space="preserve">RiBGH Rothfuß ist infolge Urlaubs an der Unterschrift gehindert.</w:t>
      </w:r>
    </w:p>
    <w:p>
      <w:r>
        <w:t xml:space="preserve">Rissing-van Saan Fischer</w:t>
      </w:r>
    </w:p>
    <w:p>
      <w:r>
        <w:rPr>
          <w:color w:val="555555"/>
          <w:sz w:val="17"/>
        </w:rPr>
        <w:t xml:space="preserve">Zitiervorschlag: BGH, Beschluß vom 28.07.2004 – 2 ARs 247/04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https://recht.nulegal.eu/rechtsprechung/bgh/2004-07-28/2-ars-247-04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Beschluß vom 28.07.2004 – 2 ARs 247/04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