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29.06.2004 – IX ZB 274/03</w:t>
      </w:r>
    </w:p>
    <w:p>
      <w:r>
        <w:rPr>
          <w:color w:val="555555"/>
          <w:sz w:val="18"/>
        </w:rPr>
        <w:t xml:space="preserve">IX. Zivilsenat</w:t>
      </w:r>
    </w:p>
    <w:p>
      <w:r>
        <w:t xml:space="preserve">BUNDESGERICHTSHOF</w:t>
      </w:r>
    </w:p>
    <w:p>
      <w:r>
        <w:t xml:space="preserve">IX ZB 274/03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29. Juni 2004</w:t>
      </w:r>
    </w:p>
    <w:p>
      <w:r>
        <w:t xml:space="preserve">in dem Verbraucherinsolvenzverfahren</w:t>
      </w:r>
    </w:p>
    <w:p>
      <w:r>
        <w:t xml:space="preserve">Der IX. Zivilsenat des Bundesgerichtshofs hat durch den Vorsitzenden Richter</w:t>
      </w:r>
    </w:p>
    <w:p>
      <w:r>
        <w:t xml:space="preserve">Dr. Kreft sowie die Richter Dr. Ganter, Raebel, Kayser und Cierniak</w:t>
      </w:r>
    </w:p>
    <w:p>
      <w:r>
        <w:t xml:space="preserve">am 29. Juni 2004</w:t>
      </w:r>
    </w:p>
    <w:p>
      <w:r>
        <w:t xml:space="preserve">beschlossen:</w:t>
      </w:r>
    </w:p>
    <w:p>
      <w:r>
        <w:t xml:space="preserve">Der Leitsatz des Beschlusses vom 21. Mai 2004 wird dahin be-</w:t>
      </w:r>
    </w:p>
    <w:p>
      <w:r>
        <w:t xml:space="preserve">richtigt, daß dieser nicht am 13., sondern am 21. Mai 2004 ergan-</w:t>
      </w:r>
    </w:p>
    <w:p>
      <w:r>
        <w:t xml:space="preserve">gen ist.</w:t>
      </w:r>
    </w:p>
    <w:p>
      <w:r>
        <w:t xml:space="preserve">Kreft Ganter Raebel</w:t>
      </w:r>
    </w:p>
    <w:p>
      <w:r>
        <w:t xml:space="preserve">Kayser Cierniak</w:t>
      </w:r>
    </w:p>
    <w:p>
      <w:r>
        <w:rPr>
          <w:color w:val="555555"/>
          <w:sz w:val="17"/>
        </w:rPr>
        <w:t xml:space="preserve">Zitiervorschlag: BGH, Beschluss vom 29.06.2004 – IX ZB 274/03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https://recht.nulegal.eu/rechtsprechung/bgh/2004-06-29/ix-zb-274-03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