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21.05.2004 – 2 ARs 175/04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175/04 2 AR 107/04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Mai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Geldfälschung</w:t>
      </w:r>
    </w:p>
    <w:p>
      <w:r>
        <w:t xml:space="preserve">Az.: 22 Js 855/03 Staatsanwaltschaft Saarbrücken Az.: 4314 Js 1710/04 Staatsanwaltschaft Zweibrücken Az.: 4314 Js 1710/04 - Ds. jug. Amtsgericht Landstuhl Az.: - 9 - 595/03 Amtsgericht Saarbrücken</w:t>
      </w:r>
    </w:p>
    <w:p>
      <w:r>
        <w:t xml:space="preserve">Der 2. Strafsenat des Bundesgerichtshofs hat nach Anhörung des Generalbun-</w:t>
      </w:r>
    </w:p>
    <w:p>
      <w:r>
        <w:t xml:space="preserve">desanwalts am 21. Mai 2004 beschlossen:</w:t>
      </w:r>
    </w:p>
    <w:p>
      <w:r>
        <w:t xml:space="preserve">Der Beschluß des Amtsgerichts - Jugendrichter - Saarbrücken</w:t>
      </w:r>
    </w:p>
    <w:p>
      <w:r>
        <w:t xml:space="preserve">vom 4. Dezember 2003 wird aufgehoben.</w:t>
      </w:r>
    </w:p>
    <w:p>
      <w:r>
        <w:t xml:space="preserve">Das Amtsgericht Saarbrücken ist weiterhin für die Untersuchung</w:t>
      </w:r>
    </w:p>
    <w:p>
      <w:r>
        <w:t xml:space="preserve">und Entscheidung der Sache zuständig.</w:t>
      </w:r>
    </w:p>
    <w:p>
      <w:pPr>
        <w:pStyle w:val="Heading2"/>
      </w:pPr>
      <w:r>
        <w:t xml:space="preserve">Gründe</w:t>
      </w:r>
    </w:p>
    <w:p>
      <w:r>
        <w:t xml:space="preserve">Der Senat schließt sich den Ausführungen des Generalbundesanwalts</w:t>
      </w:r>
    </w:p>
    <w:p>
      <w:r>
        <w:t xml:space="preserve">an, der zutreffend ausgeführt hat:</w:t>
      </w:r>
    </w:p>
    <w:p>
      <w:r>
        <w:t xml:space="preserve">"Eine Abgabe der Sache nach §§ 42 Abs. 3, 108 Abs. 1 JGG hätte vor-</w:t>
      </w:r>
    </w:p>
    <w:p>
      <w:r>
        <w:t xml:space="preserve">ausgesetzt, daß die Angeklagte ihren Aufenthalt nach Erhebung der Anklage</w:t>
      </w:r>
    </w:p>
    <w:p>
      <w:r>
        <w:t xml:space="preserve">gewechselt hat (BGHSt 13, 209, 218). Das ist hier nicht der Fall.</w:t>
      </w:r>
    </w:p>
    <w:p>
      <w:r>
        <w:t xml:space="preserve">Auch eine Übertragung der Sache nach § 12 Abs. 2 StPO ist nicht ve-</w:t>
      </w:r>
    </w:p>
    <w:p>
      <w:r>
        <w:t xml:space="preserve">ranlaßt, weil überwiegende Gründe der Zweckmäßigkeit für ein Abweichen von</w:t>
      </w:r>
    </w:p>
    <w:p>
      <w:r>
        <w:t xml:space="preserve">dem Grundsatz des § 12 Abs. 1 StPO nicht vorliegen.</w:t>
      </w:r>
    </w:p>
    <w:p>
      <w:r>
        <w:t xml:space="preserve">Das Amtsgericht Saarbrücken ist mit der Sache vertraut und hat in die-</w:t>
      </w:r>
    </w:p>
    <w:p>
      <w:r>
        <w:t xml:space="preserve">ser bereits einen Hauptverhandlungstermin durchgeführt, zu welchem die An-</w:t>
      </w:r>
    </w:p>
    <w:p>
      <w:r>
        <w:t xml:space="preserve">geklagte nicht erschienen ist (Bl. 82, 83). Auch der im Verfahren gegen Heran-</w:t>
      </w:r>
    </w:p>
    <w:p>
      <w:r>
        <w:t xml:space="preserve">wachsende wesentliche Gesichtpunkt der Entscheidungsnähe steht vorliegend</w:t>
      </w:r>
    </w:p>
    <w:p>
      <w:r>
        <w:t xml:space="preserve">nicht entgegen, weil das abgebende Gericht und das des Wohnorts räumlich</w:t>
      </w:r>
    </w:p>
    <w:p>
      <w:r>
        <w:t xml:space="preserve">nicht weit voneinander entfernt liegen (vgl. BGH bei Böhm NStZ 1992, 529; bei</w:t>
      </w:r>
    </w:p>
    <w:p>
      <w:r>
        <w:t xml:space="preserve">Kusch NStZ 1994, 230)."</w:t>
      </w:r>
    </w:p>
    <w:p>
      <w:r>
        <w:t xml:space="preserve">Rissing-van Saan Detter Bode</w:t>
      </w:r>
    </w:p>
    <w:p>
      <w:r>
        <w:t xml:space="preserve">Otten Roggenbuck</w:t>
      </w:r>
    </w:p>
    <w:p>
      <w:r>
        <w:rPr>
          <w:color w:val="555555"/>
          <w:sz w:val="17"/>
        </w:rPr>
        <w:t xml:space="preserve">Zitiervorschlag: BGH, Beschluss vom 21.05.2004 – 2 ARs 175/04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https://recht.nulegal.eu/rechtsprechung/bgh/2004-05-21/2-ars-175-04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21.05.2004 – 2 ARs 175/04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