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21.04.2004 – 2 ARs 83/04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83/04 2 AR 44/04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April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Az.: 10 VRs 63 Js 2476/97 Staatsanwaltschaft Berlin Az.: 5 Ds 273 Js 6948/03 (424/03) Amtsgericht Strausberg Az.: (265) 63 Js 2476/97 (52/97) 315 AR 12/03 Amtsgericht Berlin-Tiergarten</w:t>
      </w:r>
    </w:p>
    <w:p>
      <w:r>
        <w:t xml:space="preserve">Der 2. Strafsenat des Bundesgerichtshofs hat nach Anhörung des Generalbun-</w:t>
      </w:r>
    </w:p>
    <w:p>
      <w:r>
        <w:t xml:space="preserve">desanwalts am 21. April 2004 gemäß § 14 StPO beschlossen:</w:t>
      </w:r>
    </w:p>
    <w:p>
      <w:r>
        <w:t xml:space="preserve">Für die Bewährungsaufsicht und die nachträglichen Entscheidun-</w:t>
      </w:r>
    </w:p>
    <w:p>
      <w:r>
        <w:t xml:space="preserve">gen, die sich auf die Strafaussetzung zur Bewährung beziehen, ist</w:t>
      </w:r>
    </w:p>
    <w:p>
      <w:r>
        <w:t xml:space="preserve">das Amtsgericht Berlin-Tiergarten zuständig.</w:t>
      </w:r>
    </w:p>
    <w:p>
      <w:pPr>
        <w:pStyle w:val="Heading2"/>
      </w:pPr>
      <w:r>
        <w:t xml:space="preserve">Gründe</w:t>
      </w:r>
    </w:p>
    <w:p>
      <w:r>
        <w:t xml:space="preserve">1. Das Amtsgericht Schöffengericht Berlin-Tiergarten hat den Angeklag-</w:t>
      </w:r>
    </w:p>
    <w:p>
      <w:r>
        <w:t xml:space="preserve">ten am 13. Februar 2001 (63 Js 2476/97 Ls (52/97)) zu der Freiheitsstrafe von</w:t>
      </w:r>
    </w:p>
    <w:p>
      <w:r>
        <w:t xml:space="preserve">vier Monaten mit Bewährung verurteilt. Das Amtsgericht Strausberg hat den</w:t>
      </w:r>
    </w:p>
    <w:p>
      <w:r>
        <w:t xml:space="preserve">Angeklagten am 18. Juni 2003 (5 Ds 273 Js 6948/03 (424/03)) zu der Frei-</w:t>
      </w:r>
    </w:p>
    <w:p>
      <w:r>
        <w:t xml:space="preserve">heitsstrafe von acht Monaten verurteilt, die ebenfalls zur Bewährung ausge-</w:t>
      </w:r>
    </w:p>
    <w:p>
      <w:r>
        <w:t xml:space="preserve">setzt wurde.</w:t>
      </w:r>
    </w:p>
    <w:p>
      <w:r>
        <w:t xml:space="preserve">Die Übernahme der Bewährungsaufsicht in der Sache 63 Js 2476/97 Ls</w:t>
      </w:r>
    </w:p>
    <w:p>
      <w:r>
        <w:t xml:space="preserve">(52/97) - Amtsgericht Berlin-Tiergarten - hat das Amtsgericht Strausberg abge-</w:t>
      </w:r>
    </w:p>
    <w:p>
      <w:r>
        <w:t xml:space="preserve">lehnt. Daraufhin hat das Amtsgericht Berlin-Tiergarten die Akten gemäß § 14</w:t>
      </w:r>
    </w:p>
    <w:p>
      <w:r>
        <w:t xml:space="preserve">StPO dem Bundesgerichtshof zur Entscheidung vorgelegt.</w:t>
      </w:r>
    </w:p>
    <w:p>
      <w:r>
        <w:t xml:space="preserve">2. Zuständig für die Bewährungsaufsicht und die nachträglichen Ent-</w:t>
      </w:r>
    </w:p>
    <w:p>
      <w:r>
        <w:t xml:space="preserve">scheidungen gemäß § 453 StPO ist das Amtsgericht Berlin-Tiergarten.</w:t>
      </w:r>
    </w:p>
    <w:p>
      <w:r>
        <w:t xml:space="preserve">Aufgrund des Konzentrationsprinzips wurde zwar das Amtsgericht</w:t>
      </w:r>
    </w:p>
    <w:p>
      <w:r>
        <w:t xml:space="preserve">Strausberg als "Stammgericht" auch für die Bewährungsaufsicht und die Nach-</w:t>
      </w:r>
    </w:p>
    <w:p>
      <w:r>
        <w:t xml:space="preserve">tragsentscheidungen für die vom Amtsgericht Berlin-Tiergarten bewilligte Straf-</w:t>
      </w:r>
    </w:p>
    <w:p>
      <w:r>
        <w:t xml:space="preserve">aussetzung zuständig, weil das Amtsgericht Strausberg die höhere Strafe ver-</w:t>
      </w:r>
    </w:p>
    <w:p>
      <w:r>
        <w:t xml:space="preserve">hängt hat (§ 462 a Abs. 4 i.V.m. Abs. 3 Satz 2 StPO). Das Amtsgericht Straus-</w:t>
      </w:r>
    </w:p>
    <w:p>
      <w:r>
        <w:t xml:space="preserve">berg hat jedoch seine Zuständigkeit für die in seinem Verfahren bewilligte</w:t>
      </w:r>
    </w:p>
    <w:p>
      <w:r>
        <w:t xml:space="preserve">Strafaussetzung durch Beschluß vom 6. August 2003 an das Amtsgericht Ber-</w:t>
      </w:r>
    </w:p>
    <w:p>
      <w:r>
        <w:t xml:space="preserve">lin-Tiergarten als Wohnsitzgericht des Verurteilten übertragen (§ 462 a Abs. 2</w:t>
      </w:r>
    </w:p>
    <w:p>
      <w:r>
        <w:t xml:space="preserve">Satz 2 StPO). Nach Abgabe an das Wohnsitzgericht ist dieses kraft seiner</w:t>
      </w:r>
    </w:p>
    <w:p>
      <w:r>
        <w:t xml:space="preserve">nach Maßgabe des § 462 a Abs. 2 Satz 2 StPO abgeleiteten Zuständigkeit</w:t>
      </w:r>
    </w:p>
    <w:p>
      <w:r>
        <w:t xml:space="preserve">auch für die aufgrund anderer Urteile angefallene Bewährungsaufsicht und</w:t>
      </w:r>
    </w:p>
    <w:p>
      <w:r>
        <w:t xml:space="preserve">Nachtragsentscheidungen zuständig, sofern in diesen Urteilen auf eine gerin-</w:t>
      </w:r>
    </w:p>
    <w:p>
      <w:r>
        <w:t xml:space="preserve">gere Strafe erkannt ist oder sie bei gleicher Strafhöhe früher ergangen sind (st.</w:t>
      </w:r>
    </w:p>
    <w:p>
      <w:r>
        <w:t xml:space="preserve">Rspr.; BGHR StPO § 462 a Abs. 4 Bewährungsaufsicht 3 m.w.N.). Dies hat hier</w:t>
      </w:r>
    </w:p>
    <w:p>
      <w:r>
        <w:t xml:space="preserve">zur Folge, daß dem Amtsgericht Berlin-Tiergarten auch die Bewährungsauf-</w:t>
      </w:r>
    </w:p>
    <w:p>
      <w:r>
        <w:t xml:space="preserve">sicht und die nachträglichen Entscheidungen obliegen, die sich auf die Straf-</w:t>
      </w:r>
    </w:p>
    <w:p>
      <w:r>
        <w:t xml:space="preserve">aussetzung beziehen, die für die Strafe des Amtsgerichts Strausberg bewilligt</w:t>
      </w:r>
    </w:p>
    <w:p>
      <w:r>
        <w:t xml:space="preserve">wurde.</w:t>
      </w:r>
    </w:p>
    <w:p>
      <w:r>
        <w:t xml:space="preserve">VRin'inBGH Dr. Rissing-van Saan ist durch Urlaub an der Unterschrift gehindert. Bode</w:t>
      </w:r>
    </w:p>
    <w:p>
      <w:r>
        <w:t xml:space="preserve">Bode</w:t>
      </w:r>
    </w:p>
    <w:p>
      <w:r>
        <w:t xml:space="preserve">Otten</w:t>
      </w:r>
    </w:p>
    <w:p>
      <w:r>
        <w:t xml:space="preserve">Rothfuß Fischer</w:t>
      </w:r>
    </w:p>
    <w:p>
      <w:r>
        <w:rPr>
          <w:color w:val="555555"/>
          <w:sz w:val="17"/>
        </w:rPr>
        <w:t xml:space="preserve">Zitiervorschlag: BGH, Beschluss vom 21.04.2004 – 2 ARs 83/04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https://recht.nulegal.eu/rechtsprechung/bgh/2004-04-21/2-ars-83-04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