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04.02.2004 – 2 StR 355/03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IM NAMEN DES VOLKES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4. Februar 2004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2 StR 355/03</w:t>
      </w:r>
    </w:p>
    <w:p>
      <w:r>
        <w:t xml:space="preserve">1.</w:t>
      </w:r>
    </w:p>
    <w:p>
      <w:r>
        <w:t xml:space="preserve">2.</w:t>
      </w:r>
    </w:p>
    <w:p>
      <w:r>
        <w:t xml:space="preserve">wegen Verdachts der Untreue und des Betrugs</w:t>
      </w:r>
    </w:p>
    <w:p>
      <w:r>
        <w:t xml:space="preserve">Der 2. Strafsenat des Bundesgerichtshofs hat in der Sitzung vom 4. Februar</w:t>
      </w:r>
    </w:p>
    <w:p>
      <w:r>
        <w:t xml:space="preserve">2004, an der teilgenommen haben:</w:t>
      </w:r>
    </w:p>
    <w:p>
      <w:r>
        <w:t xml:space="preserve">Vorsitzende Richterin am Bundesgerichtshof</w:t>
      </w:r>
    </w:p>
    <w:p>
      <w:r>
        <w:t xml:space="preserve">Dr. Rissing-van Saan</w:t>
      </w:r>
    </w:p>
    <w:p>
      <w:r>
        <w:t xml:space="preserve">und die Richter am Bundesgerichtshof</w:t>
      </w:r>
    </w:p>
    <w:p>
      <w:r>
        <w:t xml:space="preserve">Dr. h.c. Detter,</w:t>
      </w:r>
    </w:p>
    <w:p>
      <w:r>
        <w:t xml:space="preserve">Dr. Bode,</w:t>
      </w:r>
    </w:p>
    <w:p>
      <w:r>
        <w:t xml:space="preserve">die Richterinnen am Bundesgerichtshof</w:t>
      </w:r>
    </w:p>
    <w:p>
      <w:r>
        <w:t xml:space="preserve">Dr. Otten,</w:t>
      </w:r>
    </w:p>
    <w:p>
      <w:r>
        <w:t xml:space="preserve">Roggenbuck,</w:t>
      </w:r>
    </w:p>
    <w:p>
      <w:r>
        <w:t xml:space="preserve">Oberstaatsanwalt beim Bundesgerichtshof in der Verhandlung,</w:t>
      </w:r>
    </w:p>
    <w:p>
      <w:r>
        <w:t xml:space="preserve">Bundesanwalt bei der Verkündung</w:t>
      </w:r>
    </w:p>
    <w:p>
      <w:r>
        <w:t xml:space="preserve">als Vertreter der Bundesanwaltschaft,</w:t>
      </w:r>
    </w:p>
    <w:p>
      <w:r>
        <w:t xml:space="preserve">Rechtsanwalt</w:t>
      </w:r>
    </w:p>
    <w:p>
      <w:r>
        <w:t xml:space="preserve">als Verteidiger des Angeklagten H. ,</w:t>
      </w:r>
    </w:p>
    <w:p>
      <w:r>
        <w:t xml:space="preserve">Rechtsanwalt</w:t>
      </w:r>
    </w:p>
    <w:p>
      <w:r>
        <w:t xml:space="preserve">als Verteidiger des Angeklagten B. ,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Die Revision der Staatsanwaltschaft gegen das Urteil des Land-</w:t>
      </w:r>
    </w:p>
    <w:p>
      <w:r>
        <w:t xml:space="preserve">gerichts Darmstadt vom 16. Dezember 2002 wird verworfen.</w:t>
      </w:r>
    </w:p>
    <w:p>
      <w:r>
        <w:t xml:space="preserve">Die Kosten des Rechtsmittels und die den Angeklagten hierdurch</w:t>
      </w:r>
    </w:p>
    <w:p>
      <w:r>
        <w:t xml:space="preserve">entstandenen notwendigen Auslagen fallen der Staatskasse zur</w:t>
      </w:r>
    </w:p>
    <w:p>
      <w:r>
        <w:t xml:space="preserve">Last.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H. vom Vorwurf der Un-</w:t>
      </w:r>
    </w:p>
    <w:p>
      <w:r>
        <w:t xml:space="preserve">treue, den Angeklagten B. vom Vorwurf des Betrugs in jeweils sechs Fäl-</w:t>
      </w:r>
    </w:p>
    <w:p>
      <w:r>
        <w:t xml:space="preserve">len aus tatsächlichen Gründen freigesprochen. Dem Angeklagten H. war</w:t>
      </w:r>
    </w:p>
    <w:p>
      <w:r>
        <w:t xml:space="preserve">zur Last gelegt, als Leiter der Abteilung Ba. geschäfte bei der Firma M.</w:t>
      </w:r>
    </w:p>
    <w:p>
      <w:r>
        <w:t xml:space="preserve">KGaA in D. ab April 1997 im Zusammenwirken mit dem Angeklagten</w:t>
      </w:r>
    </w:p>
    <w:p>
      <w:r>
        <w:t xml:space="preserve">B. Aufträge im Außenhandelsbereich erteilt zu haben, ohne daß den je-</w:t>
      </w:r>
    </w:p>
    <w:p>
      <w:r>
        <w:t xml:space="preserve">weiligen Transaktionen Kompensationsgeschäfte der Firma M. KGaA</w:t>
      </w:r>
    </w:p>
    <w:p>
      <w:r>
        <w:t xml:space="preserve">zugrunde lagen. Dem Angeklagten B. lag zur Last, nach Anweisung der</w:t>
      </w:r>
    </w:p>
    <w:p>
      <w:r>
        <w:t xml:space="preserve">jeweiligen Zahlungen an Drittfirmen die Rechnungsbeträge der Firma D.</w:t>
      </w:r>
    </w:p>
    <w:p>
      <w:r>
        <w:t xml:space="preserve">&amp; H. GmbH, eine Außenhandelsgesellschaft, deren alleiniger Ge-</w:t>
      </w:r>
    </w:p>
    <w:p>
      <w:r>
        <w:t xml:space="preserve">sellschafter und allein vertretungsberechtigter Geschäftsführer er war, in</w:t>
      </w:r>
    </w:p>
    <w:p>
      <w:r>
        <w:t xml:space="preserve">Rechnung gestellt zu haben, obwohl ihm bekannt war, daß dieses Unterneh-</w:t>
      </w:r>
    </w:p>
    <w:p>
      <w:r>
        <w:t xml:space="preserve">men aufgrund seiner ökonomischen Situation nicht in der Lage sein würde, die</w:t>
      </w:r>
    </w:p>
    <w:p>
      <w:r>
        <w:t xml:space="preserve">übernommenen Zahlungsverpflichtungen zu erfüllen. Dabei sei es den Ange-</w:t>
      </w:r>
    </w:p>
    <w:p>
      <w:r>
        <w:t xml:space="preserve">klagten durch die Fertigung von Scheinrechnungen gelungen, Umsatzge-</w:t>
      </w:r>
    </w:p>
    <w:p>
      <w:r>
        <w:t xml:space="preserve">schäfte vorzutäuschen und die Geltendmachung von Zahlungsansprüchen</w:t>
      </w:r>
    </w:p>
    <w:p>
      <w:r>
        <w:t xml:space="preserve">durch die Firma M. KGaA erheblich zu verzögern. Der Firma M. KGaA</w:t>
      </w:r>
    </w:p>
    <w:p>
      <w:r>
        <w:t xml:space="preserve">sei durch das Vorgehen der Angeklagten ein Gesamtschaden in Höhe von</w:t>
      </w:r>
    </w:p>
    <w:p>
      <w:r>
        <w:t xml:space="preserve">8.267.035 DM entstanden.</w:t>
      </w:r>
    </w:p>
    <w:p>
      <w:r>
        <w:t xml:space="preserve">Das Landgericht hat demgegenüber festgestellt, daß es sich bei den</w:t>
      </w:r>
    </w:p>
    <w:p>
      <w:r>
        <w:t xml:space="preserve">sechs angeklagten Geschäften nicht um vorgetäuschte Umsatzgeschäfte ge-</w:t>
      </w:r>
    </w:p>
    <w:p>
      <w:r>
        <w:t xml:space="preserve">handelt habe. Die Verluste der Firma M. KGaA beruhten vielmehr auf un-</w:t>
      </w:r>
    </w:p>
    <w:p>
      <w:r>
        <w:t xml:space="preserve">ternehmerischen Fehlentscheidungen, die einerseits der Angeklagte H.</w:t>
      </w:r>
    </w:p>
    <w:p>
      <w:r>
        <w:t xml:space="preserve">für die Firma M. KGaA und andererseits der Angeklagte B. für die Fir-</w:t>
      </w:r>
    </w:p>
    <w:p>
      <w:r>
        <w:t xml:space="preserve">men D. &amp; H. GmbH, B. &amp; Co GmbH, G. I</w:t>
      </w:r>
    </w:p>
    <w:p>
      <w:r>
        <w:t xml:space="preserve">GmbH (die sogenannte B. gruppe) und für die L. T. PTE Ltd.,</w:t>
      </w:r>
    </w:p>
    <w:p>
      <w:r>
        <w:t xml:space="preserve">die er zusammen mit dem in S. ansässigen Geschäftsmann</w:t>
      </w:r>
    </w:p>
    <w:p>
      <w:r>
        <w:t xml:space="preserve">E. erworben hatte und die als alleiniger Importeur von M. produkten instal-</w:t>
      </w:r>
    </w:p>
    <w:p>
      <w:r>
        <w:t xml:space="preserve">liert werden sollte, getroffen hatten. Ein strafbares Verhalten sieht die Straf-</w:t>
      </w:r>
    </w:p>
    <w:p>
      <w:r>
        <w:t xml:space="preserve">kammer auch nicht darin, daß der Angeklagte H. als Angestellter der</w:t>
      </w:r>
    </w:p>
    <w:p>
      <w:r>
        <w:t xml:space="preserve">Firma M. KGaA zusammen mit dem Angeklagten B. durch die ange-</w:t>
      </w:r>
    </w:p>
    <w:p>
      <w:r>
        <w:t xml:space="preserve">klagten Geschäfte hoch risikoreiche Finanzierungsgeschäfte getätigt hat, die</w:t>
      </w:r>
    </w:p>
    <w:p>
      <w:r>
        <w:t xml:space="preserve">mit dem eigentlichen Ba. geschäft nichts zu tun hatten, in dem er Millionenbe-</w:t>
      </w:r>
    </w:p>
    <w:p>
      <w:r>
        <w:t xml:space="preserve">träge zur Zahlung freigegeben hat, ohne daß es die im kaufmännischen Be-</w:t>
      </w:r>
    </w:p>
    <w:p>
      <w:r>
        <w:t xml:space="preserve">reich üblichen Dokumente und Handelspapiere oder auch nur ausreichende</w:t>
      </w:r>
    </w:p>
    <w:p>
      <w:r>
        <w:t xml:space="preserve">Sicherheiten gab oder ohne daß sie ihm vorlagen.</w:t>
      </w:r>
    </w:p>
    <w:p>
      <w:r>
        <w:t xml:space="preserve">Gegen den Freispruch wendet sich die Staatsanwaltschaft mit ihrer auf</w:t>
      </w:r>
    </w:p>
    <w:p>
      <w:r>
        <w:t xml:space="preserve">die Verletzung sachlichen Rechts gestützten Revision. Sie macht geltend, das</w:t>
      </w:r>
    </w:p>
    <w:p>
      <w:r>
        <w:t xml:space="preserve">Landgericht habe zu Gunsten der Angeklagten den "Zweifelssatz" zu weit aus-</w:t>
      </w:r>
    </w:p>
    <w:p>
      <w:r>
        <w:t xml:space="preserve">gelegt. Im übrigen habe das Landgericht zu Unrecht strafbare Risikogeschäfte</w:t>
      </w:r>
    </w:p>
    <w:p>
      <w:r>
        <w:t xml:space="preserve">verneint.</w:t>
      </w:r>
    </w:p>
    <w:p>
      <w:r>
        <w:t xml:space="preserve">Das Rechtsmittel, das der Generalbundesanwalt in der Hauptverhand-</w:t>
      </w:r>
    </w:p>
    <w:p>
      <w:r>
        <w:t xml:space="preserve">lung nicht vertreten hat, hat keinen Erfolg.</w:t>
      </w:r>
    </w:p>
    <w:p>
      <w:r>
        <w:t xml:space="preserve">Soweit sich die Beschwerdeführerin dagegen wendet, daß das Landge-</w:t>
      </w:r>
    </w:p>
    <w:p>
      <w:r>
        <w:t xml:space="preserve">richt die angeklagten Scheingeschäfte als nicht erwiesen ansieht, ist das</w:t>
      </w:r>
    </w:p>
    <w:p>
      <w:r>
        <w:t xml:space="preserve">Rechtsmittel unbegründet im Sinne von § 349 Abs. 2 StPO.</w:t>
      </w:r>
    </w:p>
    <w:p>
      <w:r>
        <w:t xml:space="preserve">Keinen Erfolg haben kann die Revision aber auch, soweit sie vorträgt,</w:t>
      </w:r>
    </w:p>
    <w:p>
      <w:r>
        <w:t xml:space="preserve">nach den Feststellungen habe der Angeklagte H. den Rahmen zulässiger</w:t>
      </w:r>
    </w:p>
    <w:p>
      <w:r>
        <w:t xml:space="preserve">"Risikogeschäfte" überschritten, er sei deshalb der Untreue bzw. der Ange-</w:t>
      </w:r>
    </w:p>
    <w:p>
      <w:r>
        <w:t xml:space="preserve">klagte B. der Beihilfe zur Untreue schuldig.</w:t>
      </w:r>
    </w:p>
    <w:p>
      <w:r>
        <w:t xml:space="preserve">Bei den verfahrensgegenständlichen Geschäften handelte es sich zwar</w:t>
      </w:r>
    </w:p>
    <w:p>
      <w:r>
        <w:t xml:space="preserve">nicht mehr um originär in den Verantwortungsbereich des Angeklagten H.</w:t>
      </w:r>
    </w:p>
    <w:p>
      <w:r>
        <w:t xml:space="preserve">fallende Ba. geschäfte, sondern um reine Handelsgeschäfte und Vorfinanzie-</w:t>
      </w:r>
    </w:p>
    <w:p>
      <w:r>
        <w:t xml:space="preserve">rungen durch die Firma M. KGaA, die der allgemeinen Marktpflege und auch</w:t>
      </w:r>
    </w:p>
    <w:p>
      <w:r>
        <w:t xml:space="preserve">der allgemeinen Gewinnerzielung dienten. Gegenstand der geschäftlichen Ak-</w:t>
      </w:r>
    </w:p>
    <w:p>
      <w:r>
        <w:t xml:space="preserve">tivitäten waren gewinnträchtige Geschäftsmöglichkeiten im asiatischen Wirt-</w:t>
      </w:r>
    </w:p>
    <w:p>
      <w:r>
        <w:t xml:space="preserve">schaftsraum. Bereits ab dem Jahre 1995 wurde ein umfangreiches Engage-</w:t>
      </w:r>
    </w:p>
    <w:p>
      <w:r>
        <w:t xml:space="preserve">ment der Firma M. KGaA in Asien, insbesondere in China, gestartet, um</w:t>
      </w:r>
    </w:p>
    <w:p>
      <w:r>
        <w:t xml:space="preserve">neue Märkte für die eigenen Produkte zu erschließen. Dabei schaltete der An-</w:t>
      </w:r>
    </w:p>
    <w:p>
      <w:r>
        <w:t xml:space="preserve">geklagte H. den ihm bekannten Mitangeklagten B. ein, der mit sei-</w:t>
      </w:r>
    </w:p>
    <w:p>
      <w:r>
        <w:t xml:space="preserve">nen Firmen und mit der L. T. PTE Ltd. über eine Vielzahl von Kon-</w:t>
      </w:r>
    </w:p>
    <w:p>
      <w:r>
        <w:t xml:space="preserve">takten in dieser Region verfügte. Der Vorgesetzte des Angeklagten H.</w:t>
      </w:r>
    </w:p>
    <w:p>
      <w:r>
        <w:t xml:space="preserve">und die Geschäftsleitung der Firma M. KGaA hatten gegen die Art dieser Ge-</w:t>
      </w:r>
    </w:p>
    <w:p>
      <w:r>
        <w:t xml:space="preserve">schäfte grundsätzlich keine Einwände und waren sich der damit verbundenen</w:t>
      </w:r>
    </w:p>
    <w:p>
      <w:r>
        <w:t xml:space="preserve">spezifischen Risiken bewußt (UA S. 8/9). Im Rahmen dieser Geschäftsbezie-</w:t>
      </w:r>
    </w:p>
    <w:p>
      <w:r>
        <w:t xml:space="preserve">hungen wurden zwischen März und September 1997 über die Firmen des Mit-</w:t>
      </w:r>
    </w:p>
    <w:p>
      <w:r>
        <w:t xml:space="preserve">angeklagten B. Geschäfte getätigt, die alle zu ganz erheblichen finanziellen</w:t>
      </w:r>
    </w:p>
    <w:p>
      <w:r>
        <w:t xml:space="preserve">Verlusten der Firma M. KGaA führten. Dabei handelte es sich um ein Cash-</w:t>
      </w:r>
    </w:p>
    <w:p>
      <w:r>
        <w:t xml:space="preserve">mere-, ein Harnstoff-, ein Rohrubinen-, ein Lichterketten-, ein Apfelsaftkonzent-</w:t>
      </w:r>
    </w:p>
    <w:p>
      <w:r>
        <w:t xml:space="preserve">rat- und ein Stahlgeschäft, wobei deren Einzelheiten, vor allem die vertragli-</w:t>
      </w:r>
    </w:p>
    <w:p>
      <w:r>
        <w:t xml:space="preserve">chen Konstruktionen im einzelnen nicht mehr aufgeklärt werden konnten, da</w:t>
      </w:r>
    </w:p>
    <w:p>
      <w:r>
        <w:t xml:space="preserve">genaue Dokumentationen fehlten.</w:t>
      </w:r>
    </w:p>
    <w:p>
      <w:r>
        <w:t xml:space="preserve">Die Feststellungen der Strafkammer zu den einzelnen Geschäften</w:t>
      </w:r>
    </w:p>
    <w:p>
      <w:r>
        <w:t xml:space="preserve">rechtfertigen entgegen dem Vorbringen der Revision nicht eine Verurteilung</w:t>
      </w:r>
    </w:p>
    <w:p>
      <w:r>
        <w:t xml:space="preserve">des Angeklagten H. wegen Untreue bzw. des Angeklagten B. we-</w:t>
      </w:r>
    </w:p>
    <w:p>
      <w:r>
        <w:t xml:space="preserve">gen Beihilfe zur Untreue. Der Angeklagte H. war verpflichtet, bei seiner Tä-</w:t>
      </w:r>
    </w:p>
    <w:p>
      <w:r>
        <w:t xml:space="preserve">tigkeit die für ihn geltenden kaufmännischen Maßstäbe zu beachten. Bei den</w:t>
      </w:r>
    </w:p>
    <w:p>
      <w:r>
        <w:t xml:space="preserve">vom ihm getätigten Geschäften handelte es sich um sogenannte Risikoge-</w:t>
      </w:r>
    </w:p>
    <w:p>
      <w:r>
        <w:t xml:space="preserve">schäfte, also um Geschäfte, die für den Treugeber das Risiko des Vermögens-</w:t>
      </w:r>
    </w:p>
    <w:p>
      <w:r>
        <w:t xml:space="preserve">verlustes beinhalteten. Der Abschluß eines mit einem Risiko behafteten Ge-</w:t>
      </w:r>
    </w:p>
    <w:p>
      <w:r>
        <w:t xml:space="preserve">schäfts erfüllt aber nicht schon wegen des Risikos als solchem oder wegen des</w:t>
      </w:r>
    </w:p>
    <w:p>
      <w:r>
        <w:t xml:space="preserve">Eintritts eines Verlustes den Tatbestand der Untreue. Wirtschaftlich vernünftige</w:t>
      </w:r>
    </w:p>
    <w:p>
      <w:r>
        <w:t xml:space="preserve">Ausgaben im Rahmen kaufmännischen Unternehmergeistes dürfen nicht ohne</w:t>
      </w:r>
    </w:p>
    <w:p>
      <w:r>
        <w:t xml:space="preserve">weiteres pönalisiert werden. Ein riskantes Handeln, dessen Folgen einen ande-</w:t>
      </w:r>
    </w:p>
    <w:p>
      <w:r>
        <w:t xml:space="preserve">ren treffen, ist allerdings in der Regel pflichtwidrig, wenn der Handelnde den</w:t>
      </w:r>
    </w:p>
    <w:p>
      <w:r>
        <w:t xml:space="preserve">ihm gezogenen Rahmen nicht einhält, insbesondere die Grenzen des ver-</w:t>
      </w:r>
    </w:p>
    <w:p>
      <w:r>
        <w:t xml:space="preserve">kehrsüblichen Risikos überschritten hat (BGH wistra 1982, 148, 150; 1985, 190</w:t>
      </w:r>
    </w:p>
    <w:p>
      <w:r>
        <w:t xml:space="preserve">f.; vgl. im einzelnen Tröndle/Fischer, StGB 51. Aufl., § 266 Rdn. 42 ff.;</w:t>
      </w:r>
    </w:p>
    <w:p>
      <w:r>
        <w:t xml:space="preserve">Lenckner/Perron in Schönke/Schröder, StGB 26. Aufl. § 266 Rdn. 20 ff.; Nack</w:t>
      </w:r>
    </w:p>
    <w:p>
      <w:r>
        <w:t xml:space="preserve">in Müller-Gugenberger/Bieneck, Wirtschaftsstrafrecht 3. Aufl. § 66 Rdn. 103 ff.</w:t>
      </w:r>
    </w:p>
    <w:p>
      <w:r>
        <w:t xml:space="preserve">sowie Schmid ebenda § 31 Rdn. 115 ff.). Ein von § 266 StGB erfaßtes</w:t>
      </w:r>
    </w:p>
    <w:p>
      <w:r>
        <w:t xml:space="preserve">(Risiko-)Geschäft liegt insbesondere dann vor, wenn der Täter bewußt und</w:t>
      </w:r>
    </w:p>
    <w:p>
      <w:r>
        <w:t xml:space="preserve">entgegen den Regeln kaufmännischer Sorgfalt eine äußerst gesteigerte Ver-</w:t>
      </w:r>
    </w:p>
    <w:p>
      <w:r>
        <w:t xml:space="preserve">lustgefahr auf sich nimmt, nur um eine höchst zweifelhafte Gewinnaussicht zu</w:t>
      </w:r>
    </w:p>
    <w:p>
      <w:r>
        <w:t xml:space="preserve">erhalten (BGH NStZ 1990, 437 f.). Für die Beurteilung des eingeräumten Spiel-</w:t>
      </w:r>
    </w:p>
    <w:p>
      <w:r>
        <w:t xml:space="preserve">raums maßgebend ist dabei das zugrundeliegende Treueverhältnis, danach</w:t>
      </w:r>
    </w:p>
    <w:p>
      <w:r>
        <w:t xml:space="preserve">beurteilt sich, wie weit diesem das Eingehen oder Vermeiden von Verlustrisiken</w:t>
      </w:r>
    </w:p>
    <w:p>
      <w:r>
        <w:t xml:space="preserve">innewohnt, sowie ob und in welchem Umfang sich eine Begrenzung der Dispo-</w:t>
      </w:r>
    </w:p>
    <w:p>
      <w:r>
        <w:t xml:space="preserve">sitionsmacht daraus ergibt.</w:t>
      </w:r>
    </w:p>
    <w:p>
      <w:r>
        <w:t xml:space="preserve">Diese rechtlichen Grundlagen hat die Strafkammer bei ihrer Entschei-</w:t>
      </w:r>
    </w:p>
    <w:p>
      <w:r>
        <w:t xml:space="preserve">dung beachtet. Die Beweiswürdigung selbst weist entgegen der Ansicht der</w:t>
      </w:r>
    </w:p>
    <w:p>
      <w:r>
        <w:t xml:space="preserve">Beschwerdeführerin keinen</w:t>
      </w:r>
    </w:p>
    <w:p>
      <w:r>
        <w:t xml:space="preserve">im Revisionsverfahren zu beanstandenden</w:t>
      </w:r>
    </w:p>
    <w:p>
      <w:r>
        <w:t xml:space="preserve">Rechtsfehler auf. Spricht der Tatrichter einen Angeklagten frei, weil er Zweifel</w:t>
      </w:r>
    </w:p>
    <w:p>
      <w:r>
        <w:t xml:space="preserve">an dessen Täterschaft nicht zu überwinden vermag, so ist dies durch das Revi-</w:t>
      </w:r>
    </w:p>
    <w:p>
      <w:r>
        <w:t xml:space="preserve">sionsgericht in der Regel hinzunehmen. Dieses hat insoweit nur zu beurteilen,</w:t>
      </w:r>
    </w:p>
    <w:p>
      <w:r>
        <w:t xml:space="preserve">ob dem Tatrichter bei der Beweiswürdigung Rechtsfehler unterlaufen sind. Das</w:t>
      </w:r>
    </w:p>
    <w:p>
      <w:r>
        <w:t xml:space="preserve">ist dann der Fall, wenn die Beweiswürdigung widersprüchlich, unklar oder lü-</w:t>
      </w:r>
    </w:p>
    <w:p>
      <w:r>
        <w:t xml:space="preserve">ckenhaft ist, gegen Denkgesetze oder gesicherte Erfahrungssätze verstößt.</w:t>
      </w:r>
    </w:p>
    <w:p>
      <w:r>
        <w:t xml:space="preserve">Rechtlich zu beanstanden sind die Beweiserwägungen auch dann, wenn sie</w:t>
      </w:r>
    </w:p>
    <w:p>
      <w:r>
        <w:t xml:space="preserve">erkennen lassen, daß das Gericht überspannte Anforderungen an die zur Ver-</w:t>
      </w:r>
    </w:p>
    <w:p>
      <w:r>
        <w:t xml:space="preserve">urteilung erforderliche Überzeugungsbildung gestellt und dabei nicht beachtet</w:t>
      </w:r>
    </w:p>
    <w:p>
      <w:r>
        <w:t xml:space="preserve">hat, daß eine absolute, das Gegenteil denknotwendig ausschließende und von</w:t>
      </w:r>
    </w:p>
    <w:p>
      <w:r>
        <w:t xml:space="preserve">niemandem anzweifelbare, Gewißheit nicht erforderlich ist, vielmehr ein nach</w:t>
      </w:r>
    </w:p>
    <w:p>
      <w:r>
        <w:t xml:space="preserve">der Lebenserfahrung ausreichendes Maß an Sicherheit genügt, das vernünfti-</w:t>
      </w:r>
    </w:p>
    <w:p>
      <w:r>
        <w:t xml:space="preserve">ge und nicht bloß auf denktheoretische Möglichkeiten gegründete Zweifel nicht</w:t>
      </w:r>
    </w:p>
    <w:p>
      <w:r>
        <w:t xml:space="preserve">zuläßt (st. Rspr.).</w:t>
      </w:r>
    </w:p>
    <w:p>
      <w:r>
        <w:t xml:space="preserve">Ein solcher Rechtsfehler liegt nach Ansicht des Senats nicht vor. Die</w:t>
      </w:r>
    </w:p>
    <w:p>
      <w:r>
        <w:t xml:space="preserve">vom Angeklagten H. getätigten sechs von der Anklage erfaßten Geschäfte</w:t>
      </w:r>
    </w:p>
    <w:p>
      <w:r>
        <w:t xml:space="preserve">waren im Rahmen seines Geschäftsbereichs erlaubt und wurden von dessen</w:t>
      </w:r>
    </w:p>
    <w:p>
      <w:r>
        <w:t xml:space="preserve">Vorgesetzten grundsätzlich auch gebilligt. Die Verfügungsbefugnis des Ange-</w:t>
      </w:r>
    </w:p>
    <w:p>
      <w:r>
        <w:t xml:space="preserve">klagten H. war vor allem angesichts seines - wie den Verantwortlichen der</w:t>
      </w:r>
    </w:p>
    <w:p>
      <w:r>
        <w:t xml:space="preserve">Firma M. KGaA bekannt war - genauen Regelungen nicht zugänglichen Ar-</w:t>
      </w:r>
    </w:p>
    <w:p>
      <w:r>
        <w:t xml:space="preserve">beitsbereichs nicht konkret bestimmt, die Grenzen seiner Tätigkeiten wurden</w:t>
      </w:r>
    </w:p>
    <w:p>
      <w:r>
        <w:t xml:space="preserve">auch nicht so gehandhabt, daß sein Vorgehen bei den sechs zu erheblichen</w:t>
      </w:r>
    </w:p>
    <w:p>
      <w:r>
        <w:t xml:space="preserve">Verlusten führenden Geschäften als ein - strafbewehrtes - Überschreiten seiner</w:t>
      </w:r>
    </w:p>
    <w:p>
      <w:r>
        <w:t xml:space="preserve">Verfügungsbefugnis gewertet werden kann.</w:t>
      </w:r>
    </w:p>
    <w:p>
      <w:r>
        <w:t xml:space="preserve">Nach den Feststellungen bestanden zum Zeitpunkt der Anbahnung der</w:t>
      </w:r>
    </w:p>
    <w:p>
      <w:r>
        <w:t xml:space="preserve">sechs Geschäfte insbesondere auch keine konkreten Dokumentationsver-</w:t>
      </w:r>
    </w:p>
    <w:p>
      <w:r>
        <w:t xml:space="preserve">pflichtungen für den Angeklagten H. . In seiner Abteilung war es schon</w:t>
      </w:r>
    </w:p>
    <w:p>
      <w:r>
        <w:t xml:space="preserve">zuvor seit Jahren üblich gewesen, nur in Einzelfällen konkrete schriftliche Ver-</w:t>
      </w:r>
    </w:p>
    <w:p>
      <w:r>
        <w:t xml:space="preserve">träge zu schließen. Es war ebenfalls durchaus üblich, daß es zwischen den</w:t>
      </w:r>
    </w:p>
    <w:p>
      <w:r>
        <w:t xml:space="preserve">beteiligten Geschäftspartnern nur zu mündlichen Absprachen kam oder aber</w:t>
      </w:r>
    </w:p>
    <w:p>
      <w:r>
        <w:t xml:space="preserve">lediglich ein kurzer Schriftverkehr über den Inhalt des jeweiligen Geschäftes</w:t>
      </w:r>
    </w:p>
    <w:p>
      <w:r>
        <w:t xml:space="preserve">geführt wurde. Viele Geschäfte standen unter dem Motto "Vertrauen gegen</w:t>
      </w:r>
    </w:p>
    <w:p>
      <w:r>
        <w:t xml:space="preserve">Vertrauen", so daß auf Sicherheiten verzichtet wurde. Es war auch nicht unge-</w:t>
      </w:r>
    </w:p>
    <w:p>
      <w:r>
        <w:t xml:space="preserve">wöhnlich, größere Geldbeträge aufgrund von Pro-forma-Rechnungen zur Zah-</w:t>
      </w:r>
    </w:p>
    <w:p>
      <w:r>
        <w:t xml:space="preserve">lung anzuweisen, und erst später die Originalrechnung in Empfang zu nehmen.</w:t>
      </w:r>
    </w:p>
    <w:p>
      <w:r>
        <w:t xml:space="preserve">Im übrigen fehlte eine eindeutige Abgrenzung von allgemeiner Geschäftskor-</w:t>
      </w:r>
    </w:p>
    <w:p>
      <w:r>
        <w:t xml:space="preserve">respondenz zu Belegen der Geschäftsbuchhaltung (UA S. 12). Dieser Umstand</w:t>
      </w:r>
    </w:p>
    <w:p>
      <w:r>
        <w:t xml:space="preserve">wurde erstmals in einem Bericht der Konzernrevision über die Prüfung der</w:t>
      </w:r>
    </w:p>
    <w:p>
      <w:r>
        <w:t xml:space="preserve">Ba. aktivitäten der Firma M. KGaA im April 1998 moniert und es wurden</w:t>
      </w:r>
    </w:p>
    <w:p>
      <w:r>
        <w:t xml:space="preserve">organisatorische Verbesserungen vorgeschlagen (UA S. 48). Das letzte Ge-</w:t>
      </w:r>
    </w:p>
    <w:p>
      <w:r>
        <w:t xml:space="preserve">schäft (Stahlgeschäft) im September 1997 war zwar angesichts der finanziellen</w:t>
      </w:r>
    </w:p>
    <w:p>
      <w:r>
        <w:t xml:space="preserve">Situation der Ba. gruppe, da diese nunmehr vor dem Konkurs stand, be-</w:t>
      </w:r>
    </w:p>
    <w:p>
      <w:r>
        <w:t xml:space="preserve">sonders risikoreich. Es war aber als reines Finanzierungsgeschäft, wie die</w:t>
      </w:r>
    </w:p>
    <w:p>
      <w:r>
        <w:t xml:space="preserve">Strafkammer rechtsfehlerfrei ausgeführt hat, vom Zeugen Dr. Sch. , dem für</w:t>
      </w:r>
    </w:p>
    <w:p>
      <w:r>
        <w:t xml:space="preserve">die Tätigkeiten des Angeklagten H. zuständigen Mitglied der Geschäftslei-</w:t>
      </w:r>
    </w:p>
    <w:p>
      <w:r>
        <w:t xml:space="preserve">tung der Firma M. KGaA (vgl. UA S. 115-120, 178) ausdrücklich genehmigt.</w:t>
      </w:r>
    </w:p>
    <w:p>
      <w:r>
        <w:t xml:space="preserve">Eine Verurteilung der Angeklagten wegen Untreue bzw. wegen Anstiftung zur</w:t>
      </w:r>
    </w:p>
    <w:p>
      <w:r>
        <w:t xml:space="preserve">Untreue scheidet schon deshalb aus.</w:t>
      </w:r>
    </w:p>
    <w:p>
      <w:r>
        <w:t xml:space="preserve">Rissing-van Saan Detter Bode</w:t>
      </w:r>
    </w:p>
    <w:p>
      <w:r>
        <w:t xml:space="preserve">Otten Roggenbuck</w:t>
      </w:r>
    </w:p>
    <w:p>
      <w:r>
        <w:rPr>
          <w:color w:val="555555"/>
          <w:sz w:val="17"/>
        </w:rPr>
        <w:t xml:space="preserve">Zitiervorschlag: BGH, Urteil vom 04.02.2004 – 2 StR 355/03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https://recht.nulegal.eu/rechtsprechung/bgh/2004-02-04/2-str-355-03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