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28.01.2004 – 2 StR 493/03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493/03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28. Januar 2004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Vergewaltigung u. a.</w:t>
      </w:r>
    </w:p>
    <w:p>
      <w:r>
        <w:t xml:space="preserve">Der 2. Strafsenat des Bundesgerichtshofs hat nach Anhörung des Generalbun-</w:t>
      </w:r>
    </w:p>
    <w:p>
      <w:r>
        <w:t xml:space="preserve">desanwalts und des Beschwerdeführers am 28. Januar 2004 gemäß § 349</w:t>
      </w:r>
    </w:p>
    <w:p>
      <w:r>
        <w:t xml:space="preserve">Abs. 2 und 4 StPO beschlossen:</w:t>
      </w:r>
    </w:p>
    <w:p>
      <w:r>
        <w:t xml:space="preserve">Die Revision des Angeklagten gegen das Urteil des Landgerichts</w:t>
      </w:r>
    </w:p>
    <w:p>
      <w:r>
        <w:t xml:space="preserve">Frankfurt am Main vom 11. Juli 2003 wird mit der Maßgabe ver-</w:t>
      </w:r>
    </w:p>
    <w:p>
      <w:r>
        <w:t xml:space="preserve">worfen, daß die Unterbringung des Angeklagten in einer Entzie-</w:t>
      </w:r>
    </w:p>
    <w:p>
      <w:r>
        <w:t xml:space="preserve">hungsanstalt entfällt.</w:t>
      </w:r>
    </w:p>
    <w:p>
      <w:r>
        <w:t xml:space="preserve">Der Beschwerdeführer hat die Kosten des Rechtsmittels und die</w:t>
      </w:r>
    </w:p>
    <w:p>
      <w:r>
        <w:t xml:space="preserve">den Nebenklägerinnen im Revisionsverfahren entstandenen not-</w:t>
      </w:r>
    </w:p>
    <w:p>
      <w:r>
        <w:t xml:space="preserve">wendigen Auslagen zu tragen.</w:t>
      </w:r>
    </w:p>
    <w:p>
      <w:pPr>
        <w:pStyle w:val="Heading2"/>
      </w:pPr>
      <w:r>
        <w:t xml:space="preserve">Gründe</w:t>
      </w:r>
    </w:p>
    <w:p>
      <w:r>
        <w:t xml:space="preserve">I. Das Landgericht hat den Angeklagten wegen Vergewaltigung in zwei</w:t>
      </w:r>
    </w:p>
    <w:p>
      <w:r>
        <w:t xml:space="preserve">Fällen, jeweils begangen in Tateinheit mit Körperverletzung, zu einer Gesamt-</w:t>
      </w:r>
    </w:p>
    <w:p>
      <w:r>
        <w:t xml:space="preserve">freiheitsstrafe von neun Jahren verurteilt. Weiter hat es seine Unterbringung in</w:t>
      </w:r>
    </w:p>
    <w:p>
      <w:r>
        <w:t xml:space="preserve">einer Entziehungsanstalt angeordnet und bestimmt, daß ein Drittel der Strafe</w:t>
      </w:r>
    </w:p>
    <w:p>
      <w:r>
        <w:t xml:space="preserve">vor der Unterbringung zu vollstrecken ist. Gegen dieses Urteil hat der Ange-</w:t>
      </w:r>
    </w:p>
    <w:p>
      <w:r>
        <w:t xml:space="preserve">klagte Revision eingelegt, mit der er die Verletzung formellen und materiellen</w:t>
      </w:r>
    </w:p>
    <w:p>
      <w:r>
        <w:t xml:space="preserve">Rechts rügt. Er hat folgende Beschränkung seines Rechtsmittels erklärt: "Aus-</w:t>
      </w:r>
    </w:p>
    <w:p>
      <w:r>
        <w:t xml:space="preserve">drücklich nicht gerügt wird die verhängte Maßnahme nach § 64 StGB und die</w:t>
      </w:r>
    </w:p>
    <w:p>
      <w:r>
        <w:t xml:space="preserve">Ablehnung einer Maßnahme nach § 66 StGB."</w:t>
      </w:r>
    </w:p>
    <w:p>
      <w:r>
        <w:t xml:space="preserve">Das Rechtsmittel hat mit der Sachrüge Erfolg, soweit eine Maßregel</w:t>
      </w:r>
    </w:p>
    <w:p>
      <w:r>
        <w:t xml:space="preserve">nach § 64 StGB angeordnet wurde; diese hat zu entfallen. Im übrigen ist die</w:t>
      </w:r>
    </w:p>
    <w:p>
      <w:r>
        <w:t xml:space="preserve">Revision unbegründet im Sinne des § 349 Abs. 2 StPO.</w:t>
      </w:r>
    </w:p>
    <w:p>
      <w:r>
        <w:t xml:space="preserve">II. Der Maßregelausspruch war aufzuheben.</w:t>
      </w:r>
    </w:p>
    <w:p>
      <w:r>
        <w:t xml:space="preserve">1. Die Beschränkung der Revision war im vorliegenden Fall nicht</w:t>
      </w:r>
    </w:p>
    <w:p>
      <w:r>
        <w:t xml:space="preserve">rechtswirksam. Der Revisionsführer hätte mit einer Beschränkung seines</w:t>
      </w:r>
    </w:p>
    <w:p>
      <w:r>
        <w:t xml:space="preserve">Rechtsmittels auf den Strafausspruch auch die Anordnung der Unterbringung</w:t>
      </w:r>
    </w:p>
    <w:p>
      <w:r>
        <w:t xml:space="preserve">in einer Entziehungsanstalt vom Rechtsmittelangriff wirksam ausnehmen kön-</w:t>
      </w:r>
    </w:p>
    <w:p>
      <w:r>
        <w:t xml:space="preserve">nen (vgl. hierzu auch Senatsbeschluß vom 8. Juni 1994 - 2 StR 204/94). Seiner</w:t>
      </w:r>
    </w:p>
    <w:p>
      <w:r>
        <w:t xml:space="preserve">Revi-</w:t>
      </w:r>
    </w:p>
    <w:p>
      <w:r>
        <w:t xml:space="preserve">sionsbegründung läßt sich aber nicht zweifelsfrei entnehmen, daß sein</w:t>
      </w:r>
    </w:p>
    <w:p>
      <w:r>
        <w:t xml:space="preserve">Rechtsmittel auf den Strafausspruch beschränkt sein soll. Zum einen wird dort</w:t>
      </w:r>
    </w:p>
    <w:p>
      <w:r>
        <w:t xml:space="preserve">nicht klargestellt, daß der Schuldspruch nicht angefochten sein soll, vielmehr</w:t>
      </w:r>
    </w:p>
    <w:p>
      <w:r>
        <w:t xml:space="preserve">wird eine umfassende Verfahrensrüge erhoben. Zum anderen beantragt er</w:t>
      </w:r>
    </w:p>
    <w:p>
      <w:r>
        <w:t xml:space="preserve">selbst die vollständige Aufhebung des angefochtenen Urteils. Da somit auch</w:t>
      </w:r>
    </w:p>
    <w:p>
      <w:r>
        <w:t xml:space="preserve">von einer Anfechtung des Schuldspruchs ausgegangen werden muß, ist mit der</w:t>
      </w:r>
    </w:p>
    <w:p>
      <w:r>
        <w:t xml:space="preserve">erklärten Rechtsmittelbeschränkung nicht wirksam auf die Anfechtung der Un-</w:t>
      </w:r>
    </w:p>
    <w:p>
      <w:r>
        <w:t xml:space="preserve">terbringung gemäß § 64 StGB verzichtet worden, da die Feststellung einer</w:t>
      </w:r>
    </w:p>
    <w:p>
      <w:r>
        <w:t xml:space="preserve">Symptomtat unerläßliche Voraussetzung der Maßregelanordnung ist.</w:t>
      </w:r>
    </w:p>
    <w:p>
      <w:r>
        <w:t xml:space="preserve">2. Die Anordnung der Unterbringung des Angeklagten in einer Entzie-</w:t>
      </w:r>
    </w:p>
    <w:p>
      <w:r>
        <w:t xml:space="preserve">hungsanstalt durch den Tatrichter erweist sich als rechtsfehlerhaft. Das Land-</w:t>
      </w:r>
    </w:p>
    <w:p>
      <w:r>
        <w:t xml:space="preserve">gericht hat bereits nicht festgestellt, daß der Angeklagte den Hang hat, alkoho-</w:t>
      </w:r>
    </w:p>
    <w:p>
      <w:r>
        <w:t xml:space="preserve">lische Getränke oder andere berauschende Mittel im Übermaß zu sich zu neh-</w:t>
      </w:r>
    </w:p>
    <w:p>
      <w:r>
        <w:t xml:space="preserve">men. Zu den Konsumgewohnheiten des Angeklagten hat das Landgericht mit-</w:t>
      </w:r>
    </w:p>
    <w:p>
      <w:r>
        <w:t xml:space="preserve">geteilt, daß der Angeklagte "Haschisch und Alkohol konsumiert, dabei jeden</w:t>
      </w:r>
    </w:p>
    <w:p>
      <w:r>
        <w:t xml:space="preserve">Tag Haschisch, jedoch Alkohol nicht jeden Tag".</w:t>
      </w:r>
    </w:p>
    <w:p>
      <w:r>
        <w:t xml:space="preserve">Vor beiden Taten hatte der Angeklagte Alkohol getrunken. Beide Verge-</w:t>
      </w:r>
    </w:p>
    <w:p>
      <w:r>
        <w:t xml:space="preserve">waltigungsopfer, die sich jeweils längere Zeit in der Gewalt des Angeklagten</w:t>
      </w:r>
    </w:p>
    <w:p>
      <w:r>
        <w:t xml:space="preserve">befanden, konnten keinerlei Auffälligkeiten im Hinblick auf Alkohol oder Drogen</w:t>
      </w:r>
    </w:p>
    <w:p>
      <w:r>
        <w:t xml:space="preserve">feststellen. Das Gericht ist von einer gewissen alkoholischen Beeinflussung</w:t>
      </w:r>
    </w:p>
    <w:p>
      <w:r>
        <w:t xml:space="preserve">des Angeklagten bei den Taten ausgegangen, hat aber in Übereinstimmung mit</w:t>
      </w:r>
    </w:p>
    <w:p>
      <w:r>
        <w:t xml:space="preserve">einem Sachverständigen ausgeschlossen, daß der Angeklagte im Zustand der</w:t>
      </w:r>
    </w:p>
    <w:p>
      <w:r>
        <w:t xml:space="preserve">verminderten Schuldfähigkeit (§ 21 StGB) gehandelt hat. Das Landgericht gibt</w:t>
      </w:r>
    </w:p>
    <w:p>
      <w:r>
        <w:t xml:space="preserve">den Sachverständigen dahin wieder, der Angeklagte sei durch den Mißbrauch</w:t>
      </w:r>
    </w:p>
    <w:p>
      <w:r>
        <w:t xml:space="preserve">von Alkohol und Drogen mental nicht beeinträchtigt, für eine Abhängigkeit be-</w:t>
      </w:r>
    </w:p>
    <w:p>
      <w:r>
        <w:t xml:space="preserve">stünden keine Hinweise. Er habe jedoch den Hang, beides zu nehmen. Es sei</w:t>
      </w:r>
    </w:p>
    <w:p>
      <w:r>
        <w:t xml:space="preserve">von einem gewohnheitsmäßigen Alkohol- und Haschischkonsum auszugehen,</w:t>
      </w:r>
    </w:p>
    <w:p>
      <w:r>
        <w:t xml:space="preserve">wobei die Delinquenz des Angeklagten durch das Zusammenwirken von Dro-</w:t>
      </w:r>
    </w:p>
    <w:p>
      <w:r>
        <w:t xml:space="preserve">genmißbrauch und dissozialer Persönlichkeitsstörung hervorgerufen werde.</w:t>
      </w:r>
    </w:p>
    <w:p>
      <w:r>
        <w:t xml:space="preserve">Die Kammer ist der Auffassung, daß der Angeklagte wegen seines Hanges</w:t>
      </w:r>
    </w:p>
    <w:p>
      <w:r>
        <w:t xml:space="preserve">zum Konsum von Alkohol und Drogen die Taten begangen habe, wenn auch</w:t>
      </w:r>
    </w:p>
    <w:p>
      <w:r>
        <w:t xml:space="preserve">unter Mitverursachung durch seine dissoziale Persönlichkeitsstörung. Sie hat</w:t>
      </w:r>
    </w:p>
    <w:p>
      <w:r>
        <w:t xml:space="preserve">die Maßregel nach § 64 StGB angeordnet, da zu befürchten sei, daß der Ange-</w:t>
      </w:r>
    </w:p>
    <w:p>
      <w:r>
        <w:t xml:space="preserve">klagte derartige Taten wieder begehen werde. Zur Begründung des teilweisen</w:t>
      </w:r>
    </w:p>
    <w:p>
      <w:r>
        <w:t xml:space="preserve">Vorwegvollzugs der Strafe vor der Maßregel hat die Kammer "vor allem" auf die</w:t>
      </w:r>
    </w:p>
    <w:p>
      <w:r>
        <w:t xml:space="preserve">dissoziale Persönlichkeitsstörung abgestellt.</w:t>
      </w:r>
    </w:p>
    <w:p>
      <w:r>
        <w:t xml:space="preserve">Danach ergibt sich weder aus den getroffenen Feststellungen noch aus</w:t>
      </w:r>
    </w:p>
    <w:p>
      <w:r>
        <w:t xml:space="preserve">den Ausführungen der Kammer hierzu, daß der Angeklagte den Hang hat, al-</w:t>
      </w:r>
    </w:p>
    <w:p>
      <w:r>
        <w:t xml:space="preserve">koholische Getränke oder andere berauschende Mittel im Übermaß zu sich zu</w:t>
      </w:r>
    </w:p>
    <w:p>
      <w:r>
        <w:t xml:space="preserve">nehmen. Die Feststellungen legen vielmehr nahe, daß ein derartiger Hang</w:t>
      </w:r>
    </w:p>
    <w:p>
      <w:r>
        <w:t xml:space="preserve">nicht gegeben ist. Daß ein Täter sich gelegentlich oder auch öfter betrinkt und</w:t>
      </w:r>
    </w:p>
    <w:p>
      <w:r>
        <w:t xml:space="preserve">dann im Rausch Straftaten begeht, reicht genauso wenig aus, wie wenn er ge-</w:t>
      </w:r>
    </w:p>
    <w:p>
      <w:r>
        <w:t xml:space="preserve">legentlich oder häufig Rauschgift konsumiert (vgl. dazu Tröndle/Fischer, StGB</w:t>
      </w:r>
    </w:p>
    <w:p>
      <w:r>
        <w:t xml:space="preserve">51. Aufl. § 64 Rdn. 7).</w:t>
      </w:r>
    </w:p>
    <w:p>
      <w:r>
        <w:t xml:space="preserve">Im vorliegenden Fall ist darüber hinaus auch der erforderliche sympto-</w:t>
      </w:r>
    </w:p>
    <w:p>
      <w:r>
        <w:t xml:space="preserve">matische Zusammenhang zwischen Tat und Hang nicht hinreichend dargetan,</w:t>
      </w:r>
    </w:p>
    <w:p>
      <w:r>
        <w:t xml:space="preserve">da ersichtlich die dissoziale Persönlichkeitsstörung eine wesentliche Ursache</w:t>
      </w:r>
    </w:p>
    <w:p>
      <w:r>
        <w:t xml:space="preserve">für die Begehung der Taten darstellte.</w:t>
      </w:r>
    </w:p>
    <w:p>
      <w:r>
        <w:t xml:space="preserve">Die Maßregelanordnung hat daher keinen Bestand.</w:t>
      </w:r>
    </w:p>
    <w:p>
      <w:r>
        <w:t xml:space="preserve">3. Unter den hier gegebenen Umständen kann der Senat ausschließen,</w:t>
      </w:r>
    </w:p>
    <w:p>
      <w:r>
        <w:t xml:space="preserve">daß eine neue Verhandlung Feststellungen ergeben könnte, die ein anderes</w:t>
      </w:r>
    </w:p>
    <w:p>
      <w:r>
        <w:t xml:space="preserve">Ergebnis rechtfertigen würden. Er erkennt daher entsprechend § 354 Abs. 1</w:t>
      </w:r>
    </w:p>
    <w:p>
      <w:r>
        <w:t xml:space="preserve">StPO auf den Wegfall der Unterbringungsanordnung (vgl. auch BGH, Beschl.</w:t>
      </w:r>
    </w:p>
    <w:p>
      <w:r>
        <w:t xml:space="preserve">v. 6. November 2003 - 1 StR 451/03 m.w.N.).</w:t>
      </w:r>
    </w:p>
    <w:p>
      <w:r>
        <w:t xml:space="preserve">Die - rechtlich ebenfalls bedenkliche - Bestimmung über die Vollstre-</w:t>
      </w:r>
    </w:p>
    <w:p>
      <w:r>
        <w:t xml:space="preserve">ckungsreihenfolge wird dadurch gegenstandslos.</w:t>
      </w:r>
    </w:p>
    <w:p>
      <w:r>
        <w:t xml:space="preserve">4. Trotz dieses Teilerfolgs der Revision hält es der Senat nicht für unbil-</w:t>
      </w:r>
    </w:p>
    <w:p>
      <w:r>
        <w:t xml:space="preserve">lig, den Angeklagten mit den vollen Rechtsmittelkosten zu belasten (§ 473</w:t>
      </w:r>
    </w:p>
    <w:p>
      <w:r>
        <w:t xml:space="preserve">Abs. 4 StPO). Es ist nämlich nicht erkennbar, daß der Angeklagte das Urteil</w:t>
      </w:r>
    </w:p>
    <w:p>
      <w:r>
        <w:t xml:space="preserve">nicht angefochten hätte, wenn von einer Unterbringung abgesehen worden wä-</w:t>
      </w:r>
    </w:p>
    <w:p>
      <w:r>
        <w:t xml:space="preserve">re. Hier ist es vielmehr so, daß der Angeklagte die Maßregelanordnung nicht</w:t>
      </w:r>
    </w:p>
    <w:p>
      <w:r>
        <w:t xml:space="preserve">angreifen wollte, so daß sich der Erfolg des Rechtsmittels als sehr gering dar-</w:t>
      </w:r>
    </w:p>
    <w:p>
      <w:r>
        <w:t xml:space="preserve">stellt.</w:t>
      </w:r>
    </w:p>
    <w:p>
      <w:r>
        <w:t xml:space="preserve">Rissing-van Saan Otten Rothfuß</w:t>
      </w:r>
    </w:p>
    <w:p>
      <w:r>
        <w:t xml:space="preserve">Fischer Roggenbuck</w:t>
      </w:r>
    </w:p>
    <w:p>
      <w:r>
        <w:rPr>
          <w:color w:val="555555"/>
          <w:sz w:val="17"/>
        </w:rPr>
        <w:t xml:space="preserve">Zitiervorschlag: BGH, Beschluss vom 28.01.2004 – 2 StR 493/03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https://recht.nulegal.eu/rechtsprechung/bgh/2004-01-28/2-str-493-03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