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BGH, Urteil vom 21.01.2004 – 2 StR 357/03</w:t>
      </w:r>
    </w:p>
    <w:p>
      <w:r>
        <w:rPr>
          <w:color w:val="555555"/>
          <w:sz w:val="18"/>
        </w:rPr>
        <w:t xml:space="preserve">2. Strafsenat</w:t>
      </w:r>
    </w:p>
    <w:p>
      <w:r>
        <w:t xml:space="preserve">BUNDESGERICHTSHOF</w:t>
      </w:r>
    </w:p>
    <w:p>
      <w:r>
        <w:t xml:space="preserve">IM NAMEN DES VOLKES</w:t>
      </w:r>
    </w:p>
    <w:p>
      <w:r>
        <w:t xml:space="preserve">2 StR 357/03</w:t>
      </w:r>
    </w:p>
    <w:p>
      <w:pPr>
        <w:pStyle w:val="Heading2"/>
      </w:pPr>
      <w:r>
        <w:t xml:space="preserve">URTEIL</w:t>
      </w:r>
    </w:p>
    <w:p>
      <w:r>
        <w:t xml:space="preserve">vom</w:t>
      </w:r>
    </w:p>
    <w:p>
      <w:r>
        <w:t xml:space="preserve">21. Januar 2004</w:t>
      </w:r>
    </w:p>
    <w:p>
      <w:r>
        <w:t xml:space="preserve">in der Strafsache</w:t>
      </w:r>
    </w:p>
    <w:p>
      <w:r>
        <w:t xml:space="preserve">gegen</w:t>
      </w:r>
    </w:p>
    <w:p>
      <w:r>
        <w:t xml:space="preserve">wegen unerlaubten Handeltreibens mit Betäubungsmitteln in nicht geringer Menge</w:t>
      </w:r>
    </w:p>
    <w:p>
      <w:r>
        <w:t xml:space="preserve">Der 2. Strafsenat des Bundesgerichtshofs hat in der Sitzung vom 21. Januar</w:t>
      </w:r>
    </w:p>
    <w:p>
      <w:r>
        <w:t xml:space="preserve">2004, an der teilgenommen haben:</w:t>
      </w:r>
    </w:p>
    <w:p>
      <w:r>
        <w:t xml:space="preserve">Vorsitzende Richterin am Bundesgerichtshof</w:t>
      </w:r>
    </w:p>
    <w:p>
      <w:r>
        <w:t xml:space="preserve">Dr. Rissing-van Saan</w:t>
      </w:r>
    </w:p>
    <w:p>
      <w:r>
        <w:t xml:space="preserve">und die Richter am Bundesgerichtshof</w:t>
      </w:r>
    </w:p>
    <w:p>
      <w:r>
        <w:t xml:space="preserve">Dr. h.c. Detter,</w:t>
      </w:r>
    </w:p>
    <w:p>
      <w:r>
        <w:t xml:space="preserve">Dr. Bode,</w:t>
      </w:r>
    </w:p>
    <w:p>
      <w:r>
        <w:t xml:space="preserve">die Richterin am Bundesgerichtshof</w:t>
      </w:r>
    </w:p>
    <w:p>
      <w:r>
        <w:t xml:space="preserve">Dr. Otten,</w:t>
      </w:r>
    </w:p>
    <w:p>
      <w:r>
        <w:t xml:space="preserve">der Richter am Bundesgerichtshof</w:t>
      </w:r>
    </w:p>
    <w:p>
      <w:r>
        <w:t xml:space="preserve">Rothfuß,</w:t>
      </w:r>
    </w:p>
    <w:p>
      <w:r>
        <w:t xml:space="preserve">Oberstaatsanwalt beim Bundesgerichtshof</w:t>
      </w:r>
    </w:p>
    <w:p>
      <w:r>
        <w:t xml:space="preserve">als Vertreter der Bundesanwaltschaft,</w:t>
      </w:r>
    </w:p>
    <w:p>
      <w:r>
        <w:t xml:space="preserve">Justizhauptsekretärin</w:t>
      </w:r>
    </w:p>
    <w:p>
      <w:r>
        <w:t xml:space="preserve">als Urkundsbeamtin der Geschäftsstelle,</w:t>
      </w:r>
    </w:p>
    <w:p>
      <w:r>
        <w:t xml:space="preserve">für Recht erkannt:</w:t>
      </w:r>
    </w:p>
    <w:p>
      <w:r>
        <w:t xml:space="preserve">1. Auf die Revision des Angeklagten wird das Urteil des Landge-</w:t>
      </w:r>
    </w:p>
    <w:p>
      <w:r>
        <w:t xml:space="preserve">richts Koblenz vom 24. März 2003, soweit es ihn betrifft, im</w:t>
      </w:r>
    </w:p>
    <w:p>
      <w:r>
        <w:t xml:space="preserve">Maßregelausspruch aufgehoben.</w:t>
      </w:r>
    </w:p>
    <w:p>
      <w:r>
        <w:t xml:space="preserve">Im Umfang der Aufhebung wird die Sache zu neuer Verhand-</w:t>
      </w:r>
    </w:p>
    <w:p>
      <w:r>
        <w:t xml:space="preserve">lung und Entscheidung, auch über die Kosten des Rechtsmit-</w:t>
      </w:r>
    </w:p>
    <w:p>
      <w:r>
        <w:t xml:space="preserve">tels, an eine andere Strafkammer des Landgerichts zurückver-</w:t>
      </w:r>
    </w:p>
    <w:p>
      <w:r>
        <w:t xml:space="preserve">wiesen.</w:t>
      </w:r>
    </w:p>
    <w:p>
      <w:r>
        <w:t xml:space="preserve">2. Die weitergehende Revision wird verworfen.</w:t>
      </w:r>
    </w:p>
    <w:p>
      <w:r>
        <w:t xml:space="preserve">Von Rechts wegen</w:t>
      </w:r>
    </w:p>
    <w:p>
      <w:pPr>
        <w:pStyle w:val="Heading2"/>
      </w:pPr>
      <w:r>
        <w:t xml:space="preserve">Gründe</w:t>
      </w:r>
    </w:p>
    <w:p>
      <w:r>
        <w:t xml:space="preserve">Das Landgericht hat den Angeklagten wegen unerlaubten Handeltrei-</w:t>
      </w:r>
    </w:p>
    <w:p>
      <w:r>
        <w:t xml:space="preserve">bens mit Betäubungsmitteln in nicht geringer Menge in acht Fällen zu einer</w:t>
      </w:r>
    </w:p>
    <w:p>
      <w:r>
        <w:t xml:space="preserve">Gesamtfreiheitsstrafe von sieben Jahren und sechs Monaten verurteilt. Ferner</w:t>
      </w:r>
    </w:p>
    <w:p>
      <w:r>
        <w:t xml:space="preserve">hat es ihm die Fahrerlaubnis entzogen, seinen Führerschein eingezogen und</w:t>
      </w:r>
    </w:p>
    <w:p>
      <w:r>
        <w:t xml:space="preserve">die Verwaltungsbehörde angewiesen, ihm vor Ablauf von zwei Jahren keine</w:t>
      </w:r>
    </w:p>
    <w:p>
      <w:r>
        <w:t xml:space="preserve">neue Fahrerlaubnis zu erteilen.</w:t>
      </w:r>
    </w:p>
    <w:p>
      <w:r>
        <w:t xml:space="preserve">Die gegen diese Entscheidung gerichtete, auf die Sachrüge gestützte</w:t>
      </w:r>
    </w:p>
    <w:p>
      <w:r>
        <w:t xml:space="preserve">Revision des Angeklagten hat zum Maßregelausspruch Erfolg; im übrigen ist</w:t>
      </w:r>
    </w:p>
    <w:p>
      <w:r>
        <w:t xml:space="preserve">sie unbegründet im Sinne des § 349 Abs. 2 StPO.</w:t>
      </w:r>
    </w:p>
    <w:p>
      <w:r>
        <w:t xml:space="preserve">Die Entscheidung über die Entziehung der Fahrerlaubnis kann keinen</w:t>
      </w:r>
    </w:p>
    <w:p>
      <w:r>
        <w:t xml:space="preserve">Bestand haben. Das Landgericht hat die Annahme, der Angeklagte sei zum</w:t>
      </w:r>
    </w:p>
    <w:p>
      <w:r>
        <w:t xml:space="preserve">Führen von Kraftfahrzeugen ungeeignet, wie folgt begründet (UA S. 30):</w:t>
      </w:r>
    </w:p>
    <w:p>
      <w:r>
        <w:t xml:space="preserve">"Die mangelnde Eignung zum Führen von Kraftfahrzeugen ergibt sich</w:t>
      </w:r>
    </w:p>
    <w:p>
      <w:r>
        <w:t xml:space="preserve">aus dem Tatverhalten des Angeklagten, der seine Fahrerlaubnis in mehreren</w:t>
      </w:r>
    </w:p>
    <w:p>
      <w:r>
        <w:t xml:space="preserve">Fällen zum unerlaubten Handeltreiben mit Betäubungsmitteln genutzt hat. Der</w:t>
      </w:r>
    </w:p>
    <w:p>
      <w:r>
        <w:t xml:space="preserve">Angeklagte hat dadurch gezeigt, daß er die charakterliche Zuverlässigkeit zum</w:t>
      </w:r>
    </w:p>
    <w:p>
      <w:r>
        <w:t xml:space="preserve">Führen von Kraftfahrzeugen nicht besitzt. Bei Betäubungsmittelgeschäften un-</w:t>
      </w:r>
    </w:p>
    <w:p>
      <w:r>
        <w:t xml:space="preserve">ter Benutzung von Kraftfahrzeugen ist diese in aller Regel zu verneinen (vgl.</w:t>
      </w:r>
    </w:p>
    <w:p>
      <w:r>
        <w:t xml:space="preserve">BGH NStZ 1992 S. 586). Ein Ausnahmefall, welcher ein Absehen von dieser</w:t>
      </w:r>
    </w:p>
    <w:p>
      <w:r>
        <w:t xml:space="preserve">Regel rechtfertigen könnte, liegt ersichtlich nicht vor."</w:t>
      </w:r>
    </w:p>
    <w:p>
      <w:r>
        <w:t xml:space="preserve">Diese Begründung rechtfertigt hier die Maßregel nicht, da, abgesehen</w:t>
      </w:r>
    </w:p>
    <w:p>
      <w:r>
        <w:t xml:space="preserve">davon, daß die Persönlichkeit des Angeklagten nicht in die Abwägung einbe-</w:t>
      </w:r>
    </w:p>
    <w:p>
      <w:r>
        <w:t xml:space="preserve">zogen ist, das Gewicht der Tatbeiträge, bei denen dieser ein Kraftfahrzeug</w:t>
      </w:r>
    </w:p>
    <w:p>
      <w:r>
        <w:t xml:space="preserve">geführt hat, nicht in dem erforderlichen Umfang (vgl. BGH NStZ-RR 1997, 197;</w:t>
      </w:r>
    </w:p>
    <w:p>
      <w:r>
        <w:t xml:space="preserve">BGH NStZ 2000, 26, 27; StV 2003, 69; BGHR StGB § 69 Abs. 1 Entziehung 5,</w:t>
      </w:r>
    </w:p>
    <w:p>
      <w:r>
        <w:t xml:space="preserve">6 und 8) festgestellt ist. Die Umstände der Benutzung eines Kraftfahrzeuges</w:t>
      </w:r>
    </w:p>
    <w:p>
      <w:r>
        <w:t xml:space="preserve">durch den Angeklagten sind nicht ausreichend dargelegt und gewürdigt. Die</w:t>
      </w:r>
    </w:p>
    <w:p>
      <w:r>
        <w:t xml:space="preserve">Urteilsgründe belegen nämlich nicht, wie oft und bei welchen Einzeltaten dieser</w:t>
      </w:r>
    </w:p>
    <w:p>
      <w:r>
        <w:t xml:space="preserve">ein Kraftfahrzeug geführt hat. Nach den Feststellungen nahmen er und seine</w:t>
      </w:r>
    </w:p>
    <w:p>
      <w:r>
        <w:t xml:space="preserve">Mittäter im Rahmen ihrer Betäubungsmittelgeschäfte die Belieferung ihrer</w:t>
      </w:r>
    </w:p>
    <w:p>
      <w:r>
        <w:t xml:space="preserve">Großabnehmer zum Teil selbst vor. "Hierbei verwendete der Angeklagte</w:t>
      </w:r>
    </w:p>
    <w:p>
      <w:r>
        <w:t xml:space="preserve">J. W. seinen PKW, den er selbst fuhr. Teilweise setzten die Angeklagten</w:t>
      </w:r>
    </w:p>
    <w:p>
      <w:r>
        <w:t xml:space="preserve">auch Kuriere ... ein. Mitunter wurden die Betäubungsmittel, zumeist nach tele-</w:t>
      </w:r>
    </w:p>
    <w:p>
      <w:r>
        <w:t xml:space="preserve">fonischer Absprache, auch von den Großabnehmern abgeholt" (UA S. 10). An</w:t>
      </w:r>
    </w:p>
    <w:p>
      <w:r>
        <w:t xml:space="preserve">anderer Stelle des Urteils (UA S. 15) ist ausgeführt, der Angeklagte habe ein-</w:t>
      </w:r>
    </w:p>
    <w:p>
      <w:r>
        <w:t xml:space="preserve">geräumt, in einer ihm nicht genau erinnerlichen Anzahl von Fällen Betäu-</w:t>
      </w:r>
    </w:p>
    <w:p>
      <w:r>
        <w:t xml:space="preserve">bungsmittel auch mit seinem PKW an die Abnehmer geliefert zu haben. Damit</w:t>
      </w:r>
    </w:p>
    <w:p>
      <w:r>
        <w:t xml:space="preserve">ist aber allenfalls erwiesen, daß er im Rahmen des Absatzes der Betäubungs-</w:t>
      </w:r>
    </w:p>
    <w:p>
      <w:r>
        <w:t xml:space="preserve">mittel zweimal sein Fahrzeug zum Transport benutzt hat. Die Strafkammer hat</w:t>
      </w:r>
    </w:p>
    <w:p>
      <w:r>
        <w:t xml:space="preserve">auch nicht berücksichtigt, daß die Fahrten, die der Angeklagte im Rahmen der</w:t>
      </w:r>
    </w:p>
    <w:p>
      <w:r>
        <w:t xml:space="preserve">Betäubungsmittelgeschäfte vorgenommen hat, nur die Auslieferung der ander-</w:t>
      </w:r>
    </w:p>
    <w:p>
      <w:r>
        <w:t xml:space="preserve">weitig erworbenen Betäubungsmittel an die Abnehmer betrafen. Bei diesen</w:t>
      </w:r>
    </w:p>
    <w:p>
      <w:r>
        <w:t xml:space="preserve">Fahrten hat er weit geringere Mengen als die zum Verkauf beschafften und der</w:t>
      </w:r>
    </w:p>
    <w:p>
      <w:r>
        <w:t xml:space="preserve">Verurteilung wegen Handeltreibens mit Betäubungsmitteln in nicht geringer</w:t>
      </w:r>
    </w:p>
    <w:p>
      <w:r>
        <w:t xml:space="preserve">Menge zugrundegelegten Mengen transportiert, wobei angesichts der teilweise</w:t>
      </w:r>
    </w:p>
    <w:p>
      <w:r>
        <w:t xml:space="preserve">geringen Qualität der Wirkstoffgehalt des transportierten Rauschgifts sogar die</w:t>
      </w:r>
    </w:p>
    <w:p>
      <w:r>
        <w:t xml:space="preserve">Grenze der "nicht geringen Menge" nur geringfügig überschritten hat. Aus der</w:t>
      </w:r>
    </w:p>
    <w:p>
      <w:r>
        <w:t xml:space="preserve">Intensität des Einsatzes des vom Angeklagten geführten Kraftfahrzeuges bei</w:t>
      </w:r>
    </w:p>
    <w:p>
      <w:r>
        <w:t xml:space="preserve">den abgeurteilten Straftaten allein konnte nach den bisherigen Feststellungen</w:t>
      </w:r>
    </w:p>
    <w:p>
      <w:r>
        <w:t xml:space="preserve">somit nicht die vom Landgericht angenommene besondere Indizwirkung aus-</w:t>
      </w:r>
    </w:p>
    <w:p>
      <w:r>
        <w:t xml:space="preserve">gehen, da nicht auszuschließen ist, daß auf seiner Seite die Fahrzeugbenut-</w:t>
      </w:r>
    </w:p>
    <w:p>
      <w:r>
        <w:t xml:space="preserve">zung im Rahmen des Gesamtgeschehens nur von untergeordneter Bedeutung</w:t>
      </w:r>
    </w:p>
    <w:p>
      <w:r>
        <w:t xml:space="preserve">war (vgl. BGH NStZ 1992, 586; StV 1999, 18).</w:t>
      </w:r>
    </w:p>
    <w:p>
      <w:r>
        <w:t xml:space="preserve">Die Entziehung der Fahrerlaubnis kann somit keinen Bestand haben.</w:t>
      </w:r>
    </w:p>
    <w:p>
      <w:r>
        <w:t xml:space="preserve">Soweit Feststellungen hinsichtlich dieser Maßregel getroffen sind, konnten die-</w:t>
      </w:r>
    </w:p>
    <w:p>
      <w:r>
        <w:t xml:space="preserve">se aufrechterhalten bleiben, ergänzende Feststellungen sind möglich.</w:t>
      </w:r>
    </w:p>
    <w:p>
      <w:r>
        <w:t xml:space="preserve">Rissing-van Saan Detter Bode</w:t>
      </w:r>
    </w:p>
    <w:p>
      <w:r>
        <w:t xml:space="preserve">Otten Rothfuß</w:t>
      </w:r>
    </w:p>
    <w:p>
      <w:r>
        <w:rPr>
          <w:color w:val="555555"/>
          <w:sz w:val="17"/>
        </w:rPr>
        <w:t xml:space="preserve">Zitiervorschlag: BGH, Urteil vom 21.01.2004 – 2 StR 357/03</w:t>
      </w:r>
    </w:p>
    <w:p>
      <w:r>
        <w:rPr>
          <w:color w:val="555555"/>
          <w:sz w:val="17"/>
        </w:rPr>
        <w:t xml:space="preserve">Quelle: bundesgerichtshof.de, abgerufen 10.07.2026</w:t>
      </w:r>
    </w:p>
    <w:p>
      <w:r>
        <w:rPr>
          <w:color w:val="555555"/>
          <w:sz w:val="17"/>
        </w:rPr>
        <w:t xml:space="preserve">Nicht-amtliche Fassung — maßgeblich ist die Ausfertigung des Gerichts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https://recht.nulegal.eu/rechtsprechung/bgh/2004-01-21/2-str-357-03</w:t>
      </w:r>
    </w:p>
    <w:p>
      <w:r>
        <w:rPr>
          <w:color w:val="767676"/>
          <w:sz w:val="15"/>
        </w:rPr>
        <w:t xml:space="preserve">nu:legal · recht.nulegal.eu · Nicht-amtliche Fassung. Maßgeblich ist die Fassung des Gerichts.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