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16.01.2004 – 2 ARs 417/03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417/03 2 AR 275/03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16. Januar 2004</w:t>
      </w:r>
    </w:p>
    <w:p>
      <w:r>
        <w:t xml:space="preserve">in dem Führungsaufsichtsverfahren</w:t>
      </w:r>
    </w:p>
    <w:p>
      <w:r>
        <w:t xml:space="preserve">des</w:t>
      </w:r>
    </w:p>
    <w:p>
      <w:r>
        <w:t xml:space="preserve">Az.: 205 VRs 6101/93 Staatsanwaltschaft Augsburg Az.: 546 StVK 762/03 Landgericht Berlin - Strafvollstreckungskammer - Az.: 2 NöStVK 531/98 Auswärtige Strafvollstreckungskammer des Landgerichts Augsburg beim Amtsgericht Nördlingen - Zweigstelle Donauwörth -</w:t>
      </w:r>
    </w:p>
    <w:p>
      <w:r>
        <w:t xml:space="preserve">Der 2. Strafsenat des Bundesgerichtshofs hat nach Anhörung des Generalbun-</w:t>
      </w:r>
    </w:p>
    <w:p>
      <w:r>
        <w:t xml:space="preserve">desanwalts am 16. Januar 2004 beschlossen:</w:t>
      </w:r>
    </w:p>
    <w:p>
      <w:r>
        <w:t xml:space="preserve">Die Strafvollstreckungskammer des Landgerichts Berlin ist für die</w:t>
      </w:r>
    </w:p>
    <w:p>
      <w:r>
        <w:t xml:space="preserve">Ausübung der Führungsaufsicht zuständig.</w:t>
      </w:r>
    </w:p>
    <w:p>
      <w:pPr>
        <w:pStyle w:val="Heading2"/>
      </w:pPr>
      <w:r>
        <w:t xml:space="preserve">Gründe</w:t>
      </w:r>
    </w:p>
    <w:p>
      <w:r>
        <w:t xml:space="preserve">Der Senat schließt sich der Stellungnahme des Generalbundesanwalts</w:t>
      </w:r>
    </w:p>
    <w:p>
      <w:r>
        <w:t xml:space="preserve">an, der zutreffend ausgeführt hat:</w:t>
      </w:r>
    </w:p>
    <w:p>
      <w:r>
        <w:t xml:space="preserve">"Mit der Aufnahme des Verurteilten in die Justizvollzugsanstalt B.</w:t>
      </w:r>
    </w:p>
    <w:p>
      <w:r>
        <w:t xml:space="preserve">ist die Strafvollstreckungskammer des Landgerichts Berlin gemäß</w:t>
      </w:r>
    </w:p>
    <w:p>
      <w:r>
        <w:t xml:space="preserve">§ 463 Abs. 6 i.V.m. § 462 a Abs. 1 und Abs. 4 StPO für die Führungsaufsicht</w:t>
      </w:r>
    </w:p>
    <w:p>
      <w:r>
        <w:t xml:space="preserve">und etwaige gemäß § 68 d StGB zu treffende nachträgliche Entscheidungen</w:t>
      </w:r>
    </w:p>
    <w:p>
      <w:r>
        <w:t xml:space="preserve">zuständig geworden; darauf, daß zur Zeit konkrete Entscheidungen im Rahmen</w:t>
      </w:r>
    </w:p>
    <w:p>
      <w:r>
        <w:t xml:space="preserve">der Führungsaufsicht nicht anstehen, kommt es entgegen der Ansicht der</w:t>
      </w:r>
    </w:p>
    <w:p>
      <w:r>
        <w:t xml:space="preserve">Strafvollstreckungskammer des Landgerichts Berlin nicht an (vgl. Senatsent-</w:t>
      </w:r>
    </w:p>
    <w:p>
      <w:r>
        <w:t xml:space="preserve">scheidung NStZ 2001, 165 m.w.N.)."</w:t>
      </w:r>
    </w:p>
    <w:p>
      <w:r>
        <w:t xml:space="preserve">Rissing-van Saan Detter Bode</w:t>
      </w:r>
    </w:p>
    <w:p>
      <w:r>
        <w:t xml:space="preserve">Fischer Roggenbuck</w:t>
      </w:r>
    </w:p>
    <w:p>
      <w:r>
        <w:rPr>
          <w:color w:val="555555"/>
          <w:sz w:val="17"/>
        </w:rPr>
        <w:t xml:space="preserve">Zitiervorschlag: BGH, Beschluss vom 16.01.2004 – 2 ARs 417/03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https://recht.nulegal.eu/rechtsprechung/bgh/2004-01-16/2-ars-417-03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16.01.2004 – 2 ARs 417/03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