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14.01.2004 – IV ZR 331/02</w:t>
      </w:r>
    </w:p>
    <w:p>
      <w:r>
        <w:rPr>
          <w:color w:val="555555"/>
          <w:sz w:val="18"/>
        </w:rPr>
        <w:t xml:space="preserve">IV. Zivilsenat</w:t>
      </w:r>
    </w:p>
    <w:p>
      <w:r>
        <w:t xml:space="preserve">BUNDESGERICHTSHOF</w:t>
      </w:r>
    </w:p>
    <w:p>
      <w:r>
        <w:t xml:space="preserve">IV ZR 331/02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14. Januar 2004</w:t>
      </w:r>
    </w:p>
    <w:p>
      <w:r>
        <w:t xml:space="preserve">in dem Rechtsstreit</w:t>
      </w:r>
    </w:p>
    <w:p>
      <w:r>
        <w:t xml:space="preserve">Der IV. Zivilsenat des Bundesgerichtshofs hat am 14. Januar 2004 durch den Vorsit-</w:t>
      </w:r>
    </w:p>
    <w:p>
      <w:r>
        <w:t xml:space="preserve">zenden Richter Terno, die Richter Dr. Schlichting, Seiffert, Wendt und die Richterin</w:t>
      </w:r>
    </w:p>
    <w:p>
      <w:r>
        <w:t xml:space="preserve">Dr. Kessal-Wulf</w:t>
      </w:r>
    </w:p>
    <w:p>
      <w:r>
        <w:t xml:space="preserve">beschlossen:</w:t>
      </w:r>
    </w:p>
    <w:p>
      <w:r>
        <w:t xml:space="preserve">Die Beschwerde des Klägers gegen die Nichtzulassung der Revision in</w:t>
      </w:r>
    </w:p>
    <w:p>
      <w:r>
        <w:t xml:space="preserve">dem Urteil des 10. Zivilsenats des Oberlandesgerichts München vom</w:t>
      </w:r>
    </w:p>
    <w:p>
      <w:r>
        <w:t xml:space="preserve">28. Juli 2002 wird zurückgewiesen, weil sie nicht darlegt, daß die</w:t>
      </w:r>
    </w:p>
    <w:p>
      <w:r>
        <w:t xml:space="preserve">Rechtssache grundsätzliche Bedeutung hat oder die Fortbildung des</w:t>
      </w:r>
    </w:p>
    <w:p>
      <w:r>
        <w:t xml:space="preserve">Rechts oder die Sicherung einer einheitlichen Rechtsprechung eine Ent-</w:t>
      </w:r>
    </w:p>
    <w:p>
      <w:r>
        <w:t xml:space="preserve">scheidung des Revisionsgerichts erfordert (§ 543 Abs. 2 S. 1 ZPO).</w:t>
      </w:r>
    </w:p>
    <w:p>
      <w:r>
        <w:t xml:space="preserve">Zwar hat das Berufungsgericht den Vortrag des Klägers zur Regulie-</w:t>
      </w:r>
    </w:p>
    <w:p>
      <w:r>
        <w:t xml:space="preserve">rungszusage nicht berücksichtigt. Darauf beruht das angefochtene Urteil</w:t>
      </w:r>
    </w:p>
    <w:p>
      <w:r>
        <w:t xml:space="preserve">im Ergebnis jedoch nicht, weil es angesichts des Bestreitens der Be-</w:t>
      </w:r>
    </w:p>
    <w:p>
      <w:r>
        <w:t xml:space="preserve">klagten an einem hinreichend konkreten Tatsachenvortrag für ein</w:t>
      </w:r>
    </w:p>
    <w:p>
      <w:r>
        <w:t xml:space="preserve">Schuldanerkenntnis fehlt und auch die Beschwerde nicht darlegt, was</w:t>
      </w:r>
    </w:p>
    <w:p>
      <w:r>
        <w:t xml:space="preserve">der Kläger insoweit noch hätte vortragen können.</w:t>
      </w:r>
    </w:p>
    <w:p>
      <w:r>
        <w:t xml:space="preserve">Der Kläger trägt die Kosten des Beschwerdeverfahrens</w:t>
      </w:r>
    </w:p>
    <w:p>
      <w:r>
        <w:t xml:space="preserve">(§ 97 Abs. 1 ZPO).</w:t>
      </w:r>
    </w:p>
    <w:p>
      <w:r>
        <w:t xml:space="preserve">Streitwert: 44.447,85</w:t>
      </w:r>
    </w:p>
    <w:p>
      <w:r>
        <w:t xml:space="preserve">Terno</w:t>
      </w:r>
    </w:p>
    <w:p>
      <w:r>
        <w:t xml:space="preserve">Dr. Schlichting</w:t>
      </w:r>
    </w:p>
    <w:p>
      <w:r>
        <w:t xml:space="preserve">Seiffert</w:t>
      </w:r>
    </w:p>
    <w:p>
      <w:r>
        <w:t xml:space="preserve">Wendt</w:t>
      </w:r>
    </w:p>
    <w:p>
      <w:r>
        <w:t xml:space="preserve">Dr. Kessal-Wulf</w:t>
      </w:r>
    </w:p>
    <w:p>
      <w:r>
        <w:rPr>
          <w:color w:val="555555"/>
          <w:sz w:val="17"/>
        </w:rPr>
        <w:t xml:space="preserve">Zitiervorschlag: BGH, Beschluss vom 14.01.2004 – IV ZR 331/02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https://recht.nulegal.eu/rechtsprechung/bgh/2004-01-14/iv-zr-331-02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