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BGH, Beschluss vom 14.01.2004 – 2 StR 366/03</w:t>
      </w:r>
    </w:p>
    <w:p>
      <w:r>
        <w:rPr>
          <w:color w:val="555555"/>
          <w:sz w:val="18"/>
        </w:rPr>
        <w:t xml:space="preserve">2. Strafsenat</w:t>
      </w:r>
    </w:p>
    <w:p>
      <w:r>
        <w:t xml:space="preserve">BUNDESGERICHTSHOF</w:t>
      </w:r>
    </w:p>
    <w:p>
      <w:r>
        <w:t xml:space="preserve">2 StR 366/03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14. Januar 2004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wegen unerlaubten Handeltreibens mit Betäubungsmitteln in nicht geringer Menge</w:t>
      </w:r>
    </w:p>
    <w:p>
      <w:r>
        <w:t xml:space="preserve">Der 2. Strafsenat des Bundesgerichtshofs hat nach Anhörung des Generalbun-</w:t>
      </w:r>
    </w:p>
    <w:p>
      <w:r>
        <w:t xml:space="preserve">desanwalts und des Beschwerdeführers am 14. Januar 2004 gemäß § 349</w:t>
      </w:r>
    </w:p>
    <w:p>
      <w:r>
        <w:t xml:space="preserve">Abs. 2 und 4 StPO beschlossen:</w:t>
      </w:r>
    </w:p>
    <w:p>
      <w:r>
        <w:t xml:space="preserve">1. Auf die Revision des Angeklagten W. wird das Urteil des</w:t>
      </w:r>
    </w:p>
    <w:p>
      <w:r>
        <w:t xml:space="preserve">Landgerichts Aachen vom 8. Januar 2003, soweit es ihn be-</w:t>
      </w:r>
    </w:p>
    <w:p>
      <w:r>
        <w:t xml:space="preserve">trifft, im Ausspruch über die Maßregel gemäß §§ 69, 69 a StGB</w:t>
      </w:r>
    </w:p>
    <w:p>
      <w:r>
        <w:t xml:space="preserve">mit den zugehörigen Feststellungen aufgehoben.</w:t>
      </w:r>
    </w:p>
    <w:p>
      <w:r>
        <w:t xml:space="preserve">Im Umfang der Aufhebung wird die Sache zu neuer Verhand-</w:t>
      </w:r>
    </w:p>
    <w:p>
      <w:r>
        <w:t xml:space="preserve">lung und Entscheidung, auch über die Kosten des Rechtsmitt-</w:t>
      </w:r>
    </w:p>
    <w:p>
      <w:r>
        <w:t xml:space="preserve">tels, an eine andere Strafkammer des Landgerichts zurückver-</w:t>
      </w:r>
    </w:p>
    <w:p>
      <w:r>
        <w:t xml:space="preserve">wiesen.</w:t>
      </w:r>
    </w:p>
    <w:p>
      <w:r>
        <w:t xml:space="preserve">2. Die weitergehende Revision wird verworfen.</w:t>
      </w:r>
    </w:p>
    <w:p>
      <w:pPr>
        <w:pStyle w:val="Heading2"/>
      </w:pPr>
      <w:r>
        <w:t xml:space="preserve">Gründe</w:t>
      </w:r>
    </w:p>
    <w:p>
      <w:r>
        <w:t xml:space="preserve">Das Landgericht hat den Angeklagten W. wegen unerlaubten Han-</w:t>
      </w:r>
    </w:p>
    <w:p>
      <w:r>
        <w:t xml:space="preserve">deltreibens mit Betäubungsmitteln in nicht geringer Menge in sechs Fällen und</w:t>
      </w:r>
    </w:p>
    <w:p>
      <w:r>
        <w:t xml:space="preserve">wegen Beihilfe zum Handeltreiben mit Grundstoffen, die zur unerlaubten Her-</w:t>
      </w:r>
    </w:p>
    <w:p>
      <w:r>
        <w:t xml:space="preserve">stellung von Betäubungsmitteln verwendet werden sollten, zu einer Gesamt-</w:t>
      </w:r>
    </w:p>
    <w:p>
      <w:r>
        <w:t xml:space="preserve">freiheitsstrafe von fünf Jahren und sechs Monaten verurteilt, ihm die Fahrer-</w:t>
      </w:r>
    </w:p>
    <w:p>
      <w:r>
        <w:t xml:space="preserve">laubnis entzogen und eine Sperre von einem Jahr und sechs Monaten ange-</w:t>
      </w:r>
    </w:p>
    <w:p>
      <w:r>
        <w:t xml:space="preserve">ordnet. Außerdem hat es einen Betrag von 5.000 Euro für verfallen erklärt. Die</w:t>
      </w:r>
    </w:p>
    <w:p>
      <w:r>
        <w:t xml:space="preserve">auf Verfahrensrügen und die Sachrüge gestützte Revision führt zur Aufhebung</w:t>
      </w:r>
    </w:p>
    <w:p>
      <w:r>
        <w:t xml:space="preserve">der Maßregel nach §§ 69, 69 a StGB, im übrigen erweist sie sich aus den Er-</w:t>
      </w:r>
    </w:p>
    <w:p>
      <w:r>
        <w:t xml:space="preserve">wägungen der Antragsschrift des Generalbundesanwalts vom 21. Oktober</w:t>
      </w:r>
    </w:p>
    <w:p>
      <w:r>
        <w:t xml:space="preserve">2003 als unbegründet im Sinne von § 349 Abs. 2 StPO.</w:t>
      </w:r>
    </w:p>
    <w:p>
      <w:r>
        <w:t xml:space="preserve">Nach den Feststellungen hat die Kammer die angeordnete Entziehung</w:t>
      </w:r>
    </w:p>
    <w:p>
      <w:r>
        <w:t xml:space="preserve">der Fahrerlaubnis allein darauf gestützt, daß der Angeklagte seine Fähigkeiten</w:t>
      </w:r>
    </w:p>
    <w:p>
      <w:r>
        <w:t xml:space="preserve">als Kraftfahrzeugführer mißbraucht hat, um in vier Fällen erhebliche Rausch-</w:t>
      </w:r>
    </w:p>
    <w:p>
      <w:r>
        <w:t xml:space="preserve">giftmengen zum Abnehmer der Betäubungsmittel zu transportieren. Diese Be-</w:t>
      </w:r>
    </w:p>
    <w:p>
      <w:r>
        <w:t xml:space="preserve">gründung ist hier nicht ausreichend, die Maßregelanordnung zu rechtfertigen.</w:t>
      </w:r>
    </w:p>
    <w:p>
      <w:r>
        <w:t xml:space="preserve">Anders als bei der Begehung einer der in § 69 Abs. 2 StGB aufgeführten</w:t>
      </w:r>
    </w:p>
    <w:p>
      <w:r>
        <w:t xml:space="preserve">rechtswidrigen Taten begründet allein der Umstand, daß der Täter ein Kraft-</w:t>
      </w:r>
    </w:p>
    <w:p>
      <w:r>
        <w:t xml:space="preserve">fahrzeug zur Begehung von Straftaten benutzt hat, nicht bereits eine Regel-</w:t>
      </w:r>
    </w:p>
    <w:p>
      <w:r>
        <w:t xml:space="preserve">vermutung für seine charakterliche Unzuverlässigkeit zum Führen von Kraft-</w:t>
      </w:r>
    </w:p>
    <w:p>
      <w:r>
        <w:t xml:space="preserve">fahrzeugen. Die Rechtsprechung verlangte auch bisher schon in diesen Fällen</w:t>
      </w:r>
    </w:p>
    <w:p>
      <w:r>
        <w:t xml:space="preserve">regelmäßig eine nähere Begründung der Entscheidung aufgrund einer umfas-</w:t>
      </w:r>
    </w:p>
    <w:p>
      <w:r>
        <w:t xml:space="preserve">senden Gesamtwürdigung (st. Rspr.: vgl. u. a. BGHR StGB § 69 Abs. 1 Entzie-</w:t>
      </w:r>
    </w:p>
    <w:p>
      <w:r>
        <w:t xml:space="preserve">hung 5 und 8; BGH NStZ 2000, 26, 27; StV 2003, 69).</w:t>
      </w:r>
    </w:p>
    <w:p>
      <w:r>
        <w:t xml:space="preserve">Hier wäre insbesondere zu berücksichtigen gewesen, daß die fraglichen</w:t>
      </w:r>
    </w:p>
    <w:p>
      <w:r>
        <w:t xml:space="preserve">Fahrten allein in den Niederlanden stattgefunden haben und jeweils nur von</w:t>
      </w:r>
    </w:p>
    <w:p>
      <w:r>
        <w:t xml:space="preserve">kurzer Dauer waren. Die Benutzung des Fahrzeugs spielte daher für die Bege-</w:t>
      </w:r>
    </w:p>
    <w:p>
      <w:r>
        <w:t xml:space="preserve">hung der Taten nur eine ganz untergeordnete Rolle.</w:t>
      </w:r>
    </w:p>
    <w:p>
      <w:r>
        <w:t xml:space="preserve">Die Sache bedarf danach insoweit erneuter tatrichterlicher Entschei-</w:t>
      </w:r>
    </w:p>
    <w:p>
      <w:r>
        <w:t xml:space="preserve">dung.</w:t>
      </w:r>
    </w:p>
    <w:p>
      <w:r>
        <w:t xml:space="preserve">Rissing-van Saan Detter Bode Otten Roggenbuck</w:t>
      </w:r>
    </w:p>
    <w:p>
      <w:r>
        <w:rPr>
          <w:color w:val="555555"/>
          <w:sz w:val="17"/>
        </w:rPr>
        <w:t xml:space="preserve">Zitiervorschlag: BGH, Beschluss vom 14.01.2004 – 2 StR 366/03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https://recht.nulegal.eu/rechtsprechung/bgh/2004-01-14/2-str-366-03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Fassung. Maßgeblich ist die Fassung des Gerichts.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BGH, Beschluss vom 14.01.2004 – 2 StR 366/03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