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17.06.2003 – 2 ARs 59/03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59/03 2 AR 37/03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17. Juni 2003</w:t>
      </w:r>
    </w:p>
    <w:p>
      <w:r>
        <w:t xml:space="preserve">in dem Ermittlungsverfahren</w:t>
      </w:r>
    </w:p>
    <w:p>
      <w:r>
        <w:t xml:space="preserve">gegen</w:t>
      </w:r>
    </w:p>
    <w:p>
      <w:r>
        <w:t xml:space="preserve">wegen Verdachts der Verabredung zum Bandenbetrug</w:t>
      </w:r>
    </w:p>
    <w:p>
      <w:r>
        <w:t xml:space="preserve">Az.: 201 UJs 385/03 Staatsanwaltschaft beim Landgericht Stuttgart</w:t>
      </w:r>
    </w:p>
    <w:p>
      <w:r>
        <w:t xml:space="preserve">Der 2. Strafsenat des Bundesgerichtshofs hat nach Anhörung des Generalbun-</w:t>
      </w:r>
    </w:p>
    <w:p>
      <w:r>
        <w:t xml:space="preserve">desanwalts und des Beschuldigten am 17. Juni 2003 beschlossen:</w:t>
      </w:r>
    </w:p>
    <w:p>
      <w:r>
        <w:t xml:space="preserve">Die Gegenvorstellung des Beschuldigten gegen den Senats-</w:t>
      </w:r>
    </w:p>
    <w:p>
      <w:r>
        <w:t xml:space="preserve">beschluß vom 3. März 2003 - 2 ARs 59/03 - wird zurückgewiesen.</w:t>
      </w:r>
    </w:p>
    <w:p>
      <w:pPr>
        <w:pStyle w:val="Heading2"/>
      </w:pPr>
      <w:r>
        <w:t xml:space="preserve">Gründe</w:t>
      </w:r>
    </w:p>
    <w:p>
      <w:r>
        <w:t xml:space="preserve">1. Der durch den Senatsbeschluß vom 3. März 2003 beim Land- und</w:t>
      </w:r>
    </w:p>
    <w:p>
      <w:r>
        <w:t xml:space="preserve">Amtsgericht Stuttgart nach § 13 a StPO begründete Gerichtsstand steht den</w:t>
      </w:r>
    </w:p>
    <w:p>
      <w:r>
        <w:t xml:space="preserve">anderen auf den §§ 7 ff. StPO beruhenden Gerichtsständen gleich. Er wird</w:t>
      </w:r>
    </w:p>
    <w:p>
      <w:r>
        <w:t xml:space="preserve">nicht hinfällig, wenn nach seiner Bestimmung durch den Bundesgerichtshof ein</w:t>
      </w:r>
    </w:p>
    <w:p>
      <w:r>
        <w:t xml:space="preserve">von vornherein bestehender anderer Gerichtsstand ermittelt wird; grundsätzlich</w:t>
      </w:r>
    </w:p>
    <w:p>
      <w:r>
        <w:t xml:space="preserve">kann er vom Bundesgerichtshof auch nicht wieder beseitigt oder "geändert"</w:t>
      </w:r>
    </w:p>
    <w:p>
      <w:r>
        <w:t xml:space="preserve">werden (vgl. BGHSt 32, 159, 160; 10, 255, 257 f.).</w:t>
      </w:r>
    </w:p>
    <w:p>
      <w:r>
        <w:t xml:space="preserve">2. Es besteht - auch unter Berücksichtigung des Vorbringens der Vertei-</w:t>
      </w:r>
    </w:p>
    <w:p>
      <w:r>
        <w:t xml:space="preserve">digung - keinerlei Anlaß, an der Richtigkeit der Sachdarstellung der Staatsan-</w:t>
      </w:r>
    </w:p>
    <w:p>
      <w:r>
        <w:t xml:space="preserve">waltschaft Stuttgart in ihrem Bericht vom 21. Mai 2003 zu zweifeln.</w:t>
      </w:r>
    </w:p>
    <w:p>
      <w:r>
        <w:t xml:space="preserve">Rissing-van Saan Detter Bode</w:t>
      </w:r>
    </w:p>
    <w:p>
      <w:r>
        <w:t xml:space="preserve">Rothfuß Fischer</w:t>
      </w:r>
    </w:p>
    <w:p>
      <w:r>
        <w:rPr>
          <w:color w:val="555555"/>
          <w:sz w:val="17"/>
        </w:rPr>
        <w:t xml:space="preserve">Zitiervorschlag: BGH, Beschluss vom 17.06.2003 – 2 ARs 59/03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https://recht.nulegal.eu/rechtsprechung/bgh/2003-06-17/2-ars-59-03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17.06.2003 – 2 ARs 59/03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