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23.04.2003 – 2 StR 65/03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65/03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23. April 2003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unerlaubten Besitzes von Betäubungsmitteln in nicht geringer Menge</w:t>
      </w:r>
    </w:p>
    <w:p>
      <w:r>
        <w:t xml:space="preserve">Der 2. Strafsenat des Bundesgerichtshofs hat auf Antrag des Generalbundes-</w:t>
      </w:r>
    </w:p>
    <w:p>
      <w:r>
        <w:t xml:space="preserve">anwalts und nach Anhörung des Beschwerdeführers am 23. April 2003 gemäß</w:t>
      </w:r>
    </w:p>
    <w:p>
      <w:r>
        <w:t xml:space="preserve">§ 349 Abs. 2 und 4 StPO beschlossen:</w:t>
      </w:r>
    </w:p>
    <w:p>
      <w:r>
        <w:t xml:space="preserve">1. Auf die Revision des Angeklagten wird das Urteil des Landge-</w:t>
      </w:r>
    </w:p>
    <w:p>
      <w:r>
        <w:t xml:space="preserve">richts Hanau vom 13. November 2002 mit den Feststellungen</w:t>
      </w:r>
    </w:p>
    <w:p>
      <w:r>
        <w:t xml:space="preserve">aufgehoben, soweit eine Entscheidung über die Anordnung der</w:t>
      </w:r>
    </w:p>
    <w:p>
      <w:r>
        <w:t xml:space="preserve">Unterbringung des Angeklagten in einer Entziehungsanstalt</w:t>
      </w:r>
    </w:p>
    <w:p>
      <w:r>
        <w:t xml:space="preserve">unterblieben ist.</w:t>
      </w:r>
    </w:p>
    <w:p>
      <w:r>
        <w:t xml:space="preserve">2. Im Umfang der Aufhebung wird die Sache zu neuer Verhand-</w:t>
      </w:r>
    </w:p>
    <w:p>
      <w:r>
        <w:t xml:space="preserve">lung und Entscheidung, auch über die Kosten des Rechtsmit-</w:t>
      </w:r>
    </w:p>
    <w:p>
      <w:r>
        <w:t xml:space="preserve">tels, an eine andere Strafkammer des Landgerichts zurückver-</w:t>
      </w:r>
    </w:p>
    <w:p>
      <w:r>
        <w:t xml:space="preserve">wiesen.</w:t>
      </w:r>
    </w:p>
    <w:p>
      <w:r>
        <w:t xml:space="preserve">3. Die weitergehende Revision wird verworfen.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wegen unerlaubten Besitzes von</w:t>
      </w:r>
    </w:p>
    <w:p>
      <w:r>
        <w:t xml:space="preserve">Betäubungsmitteln in nicht geringer Menge zu einer Freiheitsstrafe von drei</w:t>
      </w:r>
    </w:p>
    <w:p>
      <w:r>
        <w:t xml:space="preserve">Jahren und sechs Monaten verurteilt.</w:t>
      </w:r>
    </w:p>
    <w:p>
      <w:r>
        <w:t xml:space="preserve">Mit seiner Revision rügt der Angeklagte die Verletzung formellen und</w:t>
      </w:r>
    </w:p>
    <w:p>
      <w:r>
        <w:t xml:space="preserve">sachlichen Rechts.</w:t>
      </w:r>
    </w:p>
    <w:p>
      <w:r>
        <w:t xml:space="preserve">Das Rechtsmittel ist zum Schuld- und Strafausspruch unbegründet im</w:t>
      </w:r>
    </w:p>
    <w:p>
      <w:r>
        <w:t xml:space="preserve">Sinne des § 349 Abs. 2 StPO. Aufzuheben ist das Urteil jedoch, soweit eine</w:t>
      </w:r>
    </w:p>
    <w:p>
      <w:r>
        <w:t xml:space="preserve">Entscheidung zur Frage der Unterbringung des Angeklagten in einer Entzie-</w:t>
      </w:r>
    </w:p>
    <w:p>
      <w:r>
        <w:t xml:space="preserve">hungsanstalt gemäß § 64 StGB unterblieben ist.</w:t>
      </w:r>
    </w:p>
    <w:p>
      <w:r>
        <w:t xml:space="preserve">Nach den Feststellungen ist der Angeklagte mindestens seit 1991 he-</w:t>
      </w:r>
    </w:p>
    <w:p>
      <w:r>
        <w:t xml:space="preserve">roinabhängig. Nach drogenfreien Zeiten wurde er immer wieder rückfällig. Er ist</w:t>
      </w:r>
    </w:p>
    <w:p>
      <w:r>
        <w:t xml:space="preserve">bereits wegen eines Betäubungsmitteldelikts und wegen mehrerer Beschaf-</w:t>
      </w:r>
    </w:p>
    <w:p>
      <w:r>
        <w:t xml:space="preserve">fungstaten vorbestraft, die abgeurteilte Tat steht mit seiner Sucht im Zusam-</w:t>
      </w:r>
    </w:p>
    <w:p>
      <w:r>
        <w:t xml:space="preserve">menhang. Angesichts dieser Feststellungen hätte der Tatrichter prüfen und</w:t>
      </w:r>
    </w:p>
    <w:p>
      <w:r>
        <w:t xml:space="preserve">entscheiden müssen, ob beim Angeklagten die Gefahr besteht, daß er auch in</w:t>
      </w:r>
    </w:p>
    <w:p>
      <w:r>
        <w:t xml:space="preserve">Zukunft infolge seines Hanges erhebliche rechtswidrige Taten begehen wird.</w:t>
      </w:r>
    </w:p>
    <w:p>
      <w:r>
        <w:t xml:space="preserve">Die Unterbringung nach § 64 StGB ist zwingend anzuordnen, wenn die rechtli-</w:t>
      </w:r>
    </w:p>
    <w:p>
      <w:r>
        <w:t xml:space="preserve">chen Voraussetzungen der Maßregel gegeben sind (st. Rspr. vgl. BGH bei</w:t>
      </w:r>
    </w:p>
    <w:p>
      <w:r>
        <w:t xml:space="preserve">Detter NStZ 2003, 133, 135; 2002, 415, 419). Es ist nicht erforderlich, daß zu-</w:t>
      </w:r>
    </w:p>
    <w:p>
      <w:r>
        <w:t xml:space="preserve">mindest eine verminderte Schuldfähigkeit des Täters gemäß § 21 StGB fest-</w:t>
      </w:r>
    </w:p>
    <w:p>
      <w:r>
        <w:t xml:space="preserve">steht. Eine suchtbedingte Abhängigkeit kann auch dann die Annahme eines</w:t>
      </w:r>
    </w:p>
    <w:p>
      <w:r>
        <w:t xml:space="preserve">Hanges im Sinne des § 64 StGB begründen, wenn sie nicht den Schweregrad</w:t>
      </w:r>
    </w:p>
    <w:p>
      <w:r>
        <w:t xml:space="preserve">einer seelischen Störung im Sinne der §§ 20, 21 StGB erreicht (BGH, Beschl.</w:t>
      </w:r>
    </w:p>
    <w:p>
      <w:r>
        <w:t xml:space="preserve">v. 29. Januar 2003 - 1 StR 500/02; vgl. auch Tröndle/Fischer, StGB 51. Aufl.</w:t>
      </w:r>
    </w:p>
    <w:p>
      <w:r>
        <w:t xml:space="preserve">§ 64 Rdn. 3 m. w. N.).</w:t>
      </w:r>
    </w:p>
    <w:p>
      <w:r>
        <w:t xml:space="preserve">Daß bei dem Angeklagten keine hinreichend konkrete Aussicht eines</w:t>
      </w:r>
    </w:p>
    <w:p>
      <w:r>
        <w:t xml:space="preserve">Behandlungserfolgs besteht, ist nicht ersichtlich. Die festgestellte Persönlich-</w:t>
      </w:r>
    </w:p>
    <w:p>
      <w:r>
        <w:t xml:space="preserve">keitsstörung selbst rechtfertigt ein Absehen von der Maßregel nicht. Der Nach-</w:t>
      </w:r>
    </w:p>
    <w:p>
      <w:r>
        <w:t xml:space="preserve">holung der Unterbringungsanordnung steht nicht entgegen, daß nur der Ange-</w:t>
      </w:r>
    </w:p>
    <w:p>
      <w:r>
        <w:t xml:space="preserve">klagte Revision eingelegt hat. Die Nichtanwendung des § 64 StGB durch das</w:t>
      </w:r>
    </w:p>
    <w:p>
      <w:r>
        <w:t xml:space="preserve">Tatgericht hat der Beschwerdeführer auch nicht vom Rechtsmittelangriff aus-</w:t>
      </w:r>
    </w:p>
    <w:p>
      <w:r>
        <w:t xml:space="preserve">genommen.</w:t>
      </w:r>
    </w:p>
    <w:p>
      <w:r>
        <w:t xml:space="preserve">Der Senat kann ausschließen, daß das Landgericht bei Anordnung der</w:t>
      </w:r>
    </w:p>
    <w:p>
      <w:r>
        <w:t xml:space="preserve">Unterbringung eine geringere Strafe verhängt hätte.</w:t>
      </w:r>
    </w:p>
    <w:p>
      <w:r>
        <w:t xml:space="preserve">Rissing-van Saan Detter Bode</w:t>
      </w:r>
    </w:p>
    <w:p>
      <w:r>
        <w:t xml:space="preserve">Fischer Roggenbuck</w:t>
      </w:r>
    </w:p>
    <w:p>
      <w:r>
        <w:rPr>
          <w:color w:val="555555"/>
          <w:sz w:val="17"/>
        </w:rPr>
        <w:t xml:space="preserve">Zitiervorschlag: BGH, Beschluss vom 23.04.2003 – 2 StR 65/03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https://recht.nulegal.eu/rechtsprechung/bgh/2003-04-23/2-str-65-03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23.04.2003 – 2 StR 65/03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