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11.04.2003 – 2 StR 532/02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StR 532/02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11. April 2003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versuchten Totschlags u.a.</w:t>
      </w:r>
    </w:p>
    <w:p>
      <w:r>
        <w:t xml:space="preserve">Der 2. Strafsenat des Bundesgerichtshofs hat auf Antrag des Generalbundes-</w:t>
      </w:r>
    </w:p>
    <w:p>
      <w:r>
        <w:t xml:space="preserve">anwalts und nach Anhörung des Beschwerdeführers am 11. April 2003 gemäß</w:t>
      </w:r>
    </w:p>
    <w:p>
      <w:r>
        <w:t xml:space="preserve">§ 349 Abs. 1 StPO beschlossen:</w:t>
      </w:r>
    </w:p>
    <w:p>
      <w:r>
        <w:t xml:space="preserve">Die Revision des Nebenklägers Sch. gegen das Urteil</w:t>
      </w:r>
    </w:p>
    <w:p>
      <w:r>
        <w:t xml:space="preserve">des Landgerichts Bonn vom 18. März 2002 wird als unzulässig</w:t>
      </w:r>
    </w:p>
    <w:p>
      <w:r>
        <w:t xml:space="preserve">verworfen.</w:t>
      </w:r>
    </w:p>
    <w:p>
      <w:r>
        <w:t xml:space="preserve">Der Beschwerdeführer hat die Kosten seines Rechtsmittels zu</w:t>
      </w:r>
    </w:p>
    <w:p>
      <w:r>
        <w:t xml:space="preserve">tragen.</w:t>
      </w:r>
    </w:p>
    <w:p>
      <w:pPr>
        <w:pStyle w:val="Heading2"/>
      </w:pPr>
      <w:r>
        <w:t xml:space="preserve">Gründe</w:t>
      </w:r>
    </w:p>
    <w:p>
      <w:r>
        <w:t xml:space="preserve">Die Revision ist unzulässig, weil sie nicht rechtzeitig begründet worden</w:t>
      </w:r>
    </w:p>
    <w:p>
      <w:r>
        <w:t xml:space="preserve">ist. Das Urteil ist dem Vertreter des Nebenklägers, Rechtsanwalt H. , am</w:t>
      </w:r>
    </w:p>
    <w:p>
      <w:r>
        <w:t xml:space="preserve">15. Mai 2002 wirksam gemäß §§ 397 Abs. 1 Satz 2, 378 Satz 2 StPO zugestellt</w:t>
      </w:r>
    </w:p>
    <w:p>
      <w:r>
        <w:t xml:space="preserve">worden (Bd. XI Bl. 303 d.A.). Die Zustellung, von der der Nebenkläger unter-</w:t>
      </w:r>
    </w:p>
    <w:p>
      <w:r>
        <w:t xml:space="preserve">richtet wurde, hat die Frist zur Begründung der Revision in Lauf gesetzt. Die</w:t>
      </w:r>
    </w:p>
    <w:p>
      <w:r>
        <w:t xml:space="preserve">Revisionsbegründung ist nicht innerhalb der Monatsfrist des § 345 Abs. 1</w:t>
      </w:r>
    </w:p>
    <w:p>
      <w:r>
        <w:t xml:space="preserve">StPO, sondern erst am 18. Juni 2002 eingegangen.</w:t>
      </w:r>
    </w:p>
    <w:p>
      <w:r>
        <w:t xml:space="preserve">Die Revision des Angeklagten ist durch Beschluß gemäß § 349 Abs. 2</w:t>
      </w:r>
    </w:p>
    <w:p>
      <w:r>
        <w:t xml:space="preserve">StPO verworfen worden. Eine Überbürdung der durch die Revision des Ange-</w:t>
      </w:r>
    </w:p>
    <w:p>
      <w:r>
        <w:t xml:space="preserve">klagten dem Nebenkläger und der durch die Revision des Nebenklägers dem</w:t>
      </w:r>
    </w:p>
    <w:p>
      <w:r>
        <w:t xml:space="preserve">Angeklagten entstandenen Auslagen findet nicht statt; denn bei erfolglosem</w:t>
      </w:r>
    </w:p>
    <w:p>
      <w:r>
        <w:t xml:space="preserve">Rechtsmittel sowohl des Angeklagten als auch des Nebenklägers trägt jeder</w:t>
      </w:r>
    </w:p>
    <w:p>
      <w:r>
        <w:t xml:space="preserve">seine Auslagen selbst (BGHR StPO § 473 Abs. 1 Satz 3 Auslagenerstattung 1).</w:t>
      </w:r>
    </w:p>
    <w:p>
      <w:r>
        <w:t xml:space="preserve">Bode Otten Rothfuß</w:t>
      </w:r>
    </w:p>
    <w:p>
      <w:r>
        <w:t xml:space="preserve">Fischer Roggenbuck</w:t>
      </w:r>
    </w:p>
    <w:p>
      <w:r>
        <w:rPr>
          <w:color w:val="555555"/>
          <w:sz w:val="17"/>
        </w:rPr>
        <w:t xml:space="preserve">Zitiervorschlag: BGH, Beschluss vom 11.04.2003 – 2 StR 532/02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https://recht.nulegal.eu/rechtsprechung/bgh/2003-04-11/2-str-532-02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