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30.01.2003 – 3 StR 437/02</w:t>
      </w:r>
    </w:p>
    <w:p>
      <w:r>
        <w:rPr>
          <w:color w:val="555555"/>
          <w:sz w:val="18"/>
        </w:rPr>
        <w:t xml:space="preserve">3. Strafsenat</w:t>
      </w:r>
    </w:p>
    <w:p>
      <w:r>
        <w:t xml:space="preserve">BUNDESGERICHTSHOF</w:t>
      </w:r>
    </w:p>
    <w:p>
      <w:r>
        <w:t xml:space="preserve">3 StR 437/02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30. Januar 2003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Betruges u. a.</w:t>
      </w:r>
    </w:p>
    <w:p>
      <w:r>
        <w:t xml:space="preserve">Der 3. Strafsenat des Bundesgerichtshofs hat nach Anhörung des Beschwer-</w:t>
      </w:r>
    </w:p>
    <w:p>
      <w:r>
        <w:t xml:space="preserve">deführers und des Generalbundesanwalts - zu 2. auf dessen Antrag - am</w:t>
      </w:r>
    </w:p>
    <w:p>
      <w:r>
        <w:t xml:space="preserve">30. Januar 2003 gemäß § 349 Abs. 2 und 4 StPO einstimmig beschlossen:</w:t>
      </w:r>
    </w:p>
    <w:p>
      <w:r>
        <w:t xml:space="preserve">1. Auf die Revision des Angeklagten wird das Urteil des</w:t>
      </w:r>
    </w:p>
    <w:p>
      <w:r>
        <w:t xml:space="preserve">Landgerichts Kleve vom 3. Juli 2002 mit den zugehörigen</w:t>
      </w:r>
    </w:p>
    <w:p>
      <w:r>
        <w:t xml:space="preserve">Feststellungen aufgehoben,</w:t>
      </w:r>
    </w:p>
    <w:p>
      <w:r>
        <w:t xml:space="preserve">a) soweit der Angeklagte in den Fällen II. 1. bis II. 6. so-</w:t>
      </w:r>
    </w:p>
    <w:p>
      <w:r>
        <w:t xml:space="preserve">wie II. 10. der Urteilsgründe verurteilt und in den Fällen</w:t>
      </w:r>
    </w:p>
    <w:p>
      <w:r>
        <w:t xml:space="preserve">V. 2. bis V. 4. freigesprochen worden ist,</w:t>
      </w:r>
    </w:p>
    <w:p>
      <w:r>
        <w:t xml:space="preserve">b) im gesamten Strafausspruch.</w:t>
      </w:r>
    </w:p>
    <w:p>
      <w:r>
        <w:t xml:space="preserve">Im Umfang der Aufhebung wird die Sache zu neuer Ver-</w:t>
      </w:r>
    </w:p>
    <w:p>
      <w:r>
        <w:t xml:space="preserve">handlung und Entscheidung, auch über die Kosten des</w:t>
      </w:r>
    </w:p>
    <w:p>
      <w:r>
        <w:t xml:space="preserve">Rechtsmittels, an eine Wirtschaftsstrafkammer des Land-</w:t>
      </w:r>
    </w:p>
    <w:p>
      <w:r>
        <w:t xml:space="preserve">gerichts Duisburg zurückverwiesen.</w:t>
      </w:r>
    </w:p>
    <w:p>
      <w:r>
        <w:t xml:space="preserve">2. Die weitergehende Revision wird verworfen.</w:t>
      </w:r>
    </w:p>
    <w:p>
      <w:pPr>
        <w:pStyle w:val="Heading2"/>
      </w:pPr>
      <w:r>
        <w:t xml:space="preserve">Gründe</w:t>
      </w:r>
    </w:p>
    <w:p>
      <w:r>
        <w:t xml:space="preserve">Das Landgericht hat den Angeklagten unter Freisprechung im übrigen</w:t>
      </w:r>
    </w:p>
    <w:p>
      <w:r>
        <w:t xml:space="preserve">wegen Bankrotts in sieben Fällen, Konkursverschleppung in zwei Fällen und</w:t>
      </w:r>
    </w:p>
    <w:p>
      <w:r>
        <w:t xml:space="preserve">Betruges in vierzehn Fällen, davon in einem Fall in Tateinheit mit Urkundenfäl-</w:t>
      </w:r>
    </w:p>
    <w:p>
      <w:r>
        <w:t xml:space="preserve">schung, zu einer Gesamtfreiheitsstrafe von drei Jahren verurteilt. Die auf die</w:t>
      </w:r>
    </w:p>
    <w:p>
      <w:r>
        <w:t xml:space="preserve">allgemeine Sachrüge gestützte Revision des Angeklagten hat weitgehend Er-</w:t>
      </w:r>
    </w:p>
    <w:p>
      <w:r>
        <w:t xml:space="preserve">folg.</w:t>
      </w:r>
    </w:p>
    <w:p>
      <w:r>
        <w:t xml:space="preserve">1. Die Schuldsprüche wegen vorsätzlicher Unterlassung der Konkursan-</w:t>
      </w:r>
    </w:p>
    <w:p>
      <w:r>
        <w:t xml:space="preserve">tragstellung (§§ 84 Abs. 1 Nr. 2, 64 Abs. 1 Satz 1 und 2 GmbHG aF) in den</w:t>
      </w:r>
    </w:p>
    <w:p>
      <w:r>
        <w:t xml:space="preserve">Fällen II. 1. und II. 2. der Urteilsgründe halten rechtlicher Überprüfung nicht</w:t>
      </w:r>
    </w:p>
    <w:p>
      <w:r>
        <w:t xml:space="preserve">stand. Das Landgericht hat weder die Überschuldung noch die Zahlungsunfä-</w:t>
      </w:r>
    </w:p>
    <w:p>
      <w:r>
        <w:t xml:space="preserve">higkeit der beiden vom Angeklagten geführten Gesellschaften (G GmbH und</w:t>
      </w:r>
    </w:p>
    <w:p>
      <w:r>
        <w:t xml:space="preserve">E. GmbH) rechtsfehlerfrei festgestellt.</w:t>
      </w:r>
    </w:p>
    <w:p>
      <w:r>
        <w:t xml:space="preserve">Überschuldung liegt vor, wenn das Vermögen die Schulden nicht mehr</w:t>
      </w:r>
    </w:p>
    <w:p>
      <w:r>
        <w:t xml:space="preserve">deckt. Um sie zu ermitteln, bedarf es eines Überschuldungsstatus in Form ei-</w:t>
      </w:r>
    </w:p>
    <w:p>
      <w:r>
        <w:t xml:space="preserve">ner Vermögensbilanz, die über die tatsächlichen Werte des Gesellschaftsver-</w:t>
      </w:r>
    </w:p>
    <w:p>
      <w:r>
        <w:t xml:space="preserve">mögens Auskunft gibt (vgl. BGHR StGB § 283 Abs. 1 Überschuldung 1 und 2;</w:t>
      </w:r>
    </w:p>
    <w:p>
      <w:r>
        <w:t xml:space="preserve">Tiedemann in LK 11. Aufl. vor § 283 Rdn. 147 ff.). Ohne Bedeutung sind hin-</w:t>
      </w:r>
    </w:p>
    <w:p>
      <w:r>
        <w:t xml:space="preserve">gegen beispielsweise die steuerrechtlichen Abschreibungswerte (vgl. § 254</w:t>
      </w:r>
    </w:p>
    <w:p>
      <w:r>
        <w:t xml:space="preserve">HGB). Die vom Landgericht zum Nachweis der Überschuldung der beiden Ge-</w:t>
      </w:r>
    </w:p>
    <w:p>
      <w:r>
        <w:t xml:space="preserve">sellschaften herangezogenen und in das Urteil eingestellten Jahresbilanzen,</w:t>
      </w:r>
    </w:p>
    <w:p>
      <w:r>
        <w:t xml:space="preserve">die der Sachverständige H. nachträglich erstellt hat, lassen nicht erken-</w:t>
      </w:r>
    </w:p>
    <w:p>
      <w:r>
        <w:t xml:space="preserve">nen, nach welchen Maßstäben die dort aufgeführten Wirtschaftsgüter bewertet</w:t>
      </w:r>
    </w:p>
    <w:p>
      <w:r>
        <w:t xml:space="preserve">worden sind. Auch die sonstigen Urteilsgründe enthalten hierzu keine Erläute-</w:t>
      </w:r>
    </w:p>
    <w:p>
      <w:r>
        <w:t xml:space="preserve">rung. Die Überschuldung ist daher nicht hinreichend belegt.</w:t>
      </w:r>
    </w:p>
    <w:p>
      <w:r>
        <w:t xml:space="preserve">Die Zahlungsunfähigkeit ist in der Regel durch eine stichtagsbezogene</w:t>
      </w:r>
    </w:p>
    <w:p>
      <w:r>
        <w:t xml:space="preserve">Gegenüberstellung der fälligen und eingeforderten Verbindlichkeiten sowie der</w:t>
      </w:r>
    </w:p>
    <w:p>
      <w:r>
        <w:t xml:space="preserve">zu ihrer Tilgung vorhandenen oder herbeizuschaffenden Mittel festzustellen</w:t>
      </w:r>
    </w:p>
    <w:p>
      <w:r>
        <w:t xml:space="preserve">(BGHR GmbHG § 64 Abs. 1 Zahlungsunfähigkeit 1). Eine derartige Gegen-</w:t>
      </w:r>
    </w:p>
    <w:p>
      <w:r>
        <w:t xml:space="preserve">überstellung enthält das Urteil nicht. Allerdings können auch wirtschaftskrimi-</w:t>
      </w:r>
    </w:p>
    <w:p>
      <w:r>
        <w:t xml:space="preserve">nalistische Beweisanzeichen wie Häufigkeit der Wechsel- und Scheckproteste</w:t>
      </w:r>
    </w:p>
    <w:p>
      <w:r>
        <w:t xml:space="preserve">oder fruchtlose Pfändungen den sicheren Schluß auf den Eintritt der Zahlungs-</w:t>
      </w:r>
    </w:p>
    <w:p>
      <w:r>
        <w:t xml:space="preserve">unfähigkeit erlauben (BGHR aaO). Derartige Beweisanzeichen teilt das Urteil</w:t>
      </w:r>
    </w:p>
    <w:p>
      <w:r>
        <w:t xml:space="preserve">zwar pauschal mit. Die hierzu getroffenen Feststellungen sind jedoch so allge-</w:t>
      </w:r>
    </w:p>
    <w:p>
      <w:r>
        <w:t xml:space="preserve">mein gehalten, daß die Zeitpunkte, zu denen die beiden Gesellschaften tat-</w:t>
      </w:r>
    </w:p>
    <w:p>
      <w:r>
        <w:t xml:space="preserve">sächlich zahlungsunfähig wurden und die Frist nach § 64 Abs. 1 Satz 1</w:t>
      </w:r>
    </w:p>
    <w:p>
      <w:r>
        <w:t xml:space="preserve">GmbHG aF jeweils zu laufen begann, nicht erkennbar werden. Bei der E</w:t>
      </w:r>
    </w:p>
    <w:p>
      <w:r>
        <w:t xml:space="preserve">GmbH, für die das Landgericht Zahlungsunfähigkeit ab dem 31. Dezember</w:t>
      </w:r>
    </w:p>
    <w:p>
      <w:r>
        <w:t xml:space="preserve">1995 annimmt, kommt hinzu, daß die vom Sachverständigen H. er-</w:t>
      </w:r>
    </w:p>
    <w:p>
      <w:r>
        <w:t xml:space="preserve">stellten Bilanzen für das Geschäftsjahr 1995 einen Jahresüberschuß von</w:t>
      </w:r>
    </w:p>
    <w:p>
      <w:r>
        <w:t xml:space="preserve">11.510,18 DM und für das Jahr 1996 von 55.566,22 DM ausweisen (§ 266</w:t>
      </w:r>
    </w:p>
    <w:p>
      <w:r>
        <w:t xml:space="preserve">Abs. 3 A. V. HGB). Hat danach aber in beiden Jahren die Summe der Erträge</w:t>
      </w:r>
    </w:p>
    <w:p>
      <w:r>
        <w:t xml:space="preserve">die Summe der Aufwendungen überstiegen (vgl. Beater in MünchKomm-HGB</w:t>
      </w:r>
    </w:p>
    <w:p>
      <w:r>
        <w:t xml:space="preserve">§ 266 Rdn. 67), bedarf der Nachweis von Zahlungsunfähigkeit durch wirt-</w:t>
      </w:r>
    </w:p>
    <w:p>
      <w:r>
        <w:t xml:space="preserve">schaftskriminalistische Beweisanzeichen besonders eingehender Darlegung.</w:t>
      </w:r>
    </w:p>
    <w:p>
      <w:r>
        <w:t xml:space="preserve">2. Die Verurteilung des Angeklagten wegen Bankrotts in sieben Fällen</w:t>
      </w:r>
    </w:p>
    <w:p>
      <w:r>
        <w:t xml:space="preserve">im Fall II. 3. der Urteilsgründe kann ebenfalls keinen Bestand haben.</w:t>
      </w:r>
    </w:p>
    <w:p>
      <w:r>
        <w:t xml:space="preserve">a) Die beiden Schuldsprüche wegen unterlassener bzw. "unterbliebener"</w:t>
      </w:r>
    </w:p>
    <w:p>
      <w:r>
        <w:t xml:space="preserve">Führung der Handelsbücher (§ 283 Abs. 1 Nr. 5 i. V. m. § 14 Abs. 1 Nr. 1</w:t>
      </w:r>
    </w:p>
    <w:p>
      <w:r>
        <w:t xml:space="preserve">StGB) werden von den hierzu getroffenen tatsächlichen Feststellungen nicht</w:t>
      </w:r>
    </w:p>
    <w:p>
      <w:r>
        <w:t xml:space="preserve">getragen.</w:t>
      </w:r>
    </w:p>
    <w:p>
      <w:r>
        <w:t xml:space="preserve">Hinsichtlich der G GmbH teilt das Landgericht lediglich mit, daß in den</w:t>
      </w:r>
    </w:p>
    <w:p>
      <w:r>
        <w:t xml:space="preserve">Geschäftsjahren 1995, 1996 und 1997 nur noch eine "unvollständige Rech-</w:t>
      </w:r>
    </w:p>
    <w:p>
      <w:r>
        <w:t xml:space="preserve">nungslegung" erfolgte (UA S. 10). Bei der E GmbH beschränkt es sich auf</w:t>
      </w:r>
    </w:p>
    <w:p>
      <w:r>
        <w:t xml:space="preserve">die Feststellung, daß Sach- und Personalkonten nur von September 1995 bis</w:t>
      </w:r>
    </w:p>
    <w:p>
      <w:r>
        <w:t xml:space="preserve">Juli 1996 geführt worden sind und Buchhaltungsbelege lediglich für den Zeit-</w:t>
      </w:r>
    </w:p>
    <w:p>
      <w:r>
        <w:t xml:space="preserve">raum von Januar bis Juni 1996 vorliegen. Damit fehlen hinreichende tatsächli-</w:t>
      </w:r>
    </w:p>
    <w:p>
      <w:r>
        <w:t xml:space="preserve">che Angaben zu den Mängeln der Buchführung, so daß nicht prüfbar ist, ob die</w:t>
      </w:r>
    </w:p>
    <w:p>
      <w:r>
        <w:t xml:space="preserve">gesetzlichen Tatbestandsvoraussetzungen erfüllt sind. Insbesondere ist die</w:t>
      </w:r>
    </w:p>
    <w:p>
      <w:r>
        <w:t xml:space="preserve">Wertung des Landgerichts nicht nachvollziehbar, die unvollständige bzw. "un-</w:t>
      </w:r>
    </w:p>
    <w:p>
      <w:r>
        <w:t xml:space="preserve">terbliebene" Buchführung habe die Übersicht über den Vermögensstand der</w:t>
      </w:r>
    </w:p>
    <w:p>
      <w:r>
        <w:t xml:space="preserve">beiden Gesellschaften unmöglich gemacht, zumal der Sachverständige H.</w:t>
      </w:r>
    </w:p>
    <w:p>
      <w:r>
        <w:t xml:space="preserve">Jahresbilanzen der G GmbH für die Geschäftsjahre 1994 und 1995 sowie</w:t>
      </w:r>
    </w:p>
    <w:p>
      <w:r>
        <w:t xml:space="preserve">der E GmbH für die Geschäftsjahre 1995 und 1996 nachträglich erstel-</w:t>
      </w:r>
    </w:p>
    <w:p>
      <w:r>
        <w:t xml:space="preserve">len konnte.</w:t>
      </w:r>
    </w:p>
    <w:p>
      <w:r>
        <w:t xml:space="preserve">b) Soweit der Angeklagte es als Geschäftsführer der G GmbH unter-</w:t>
      </w:r>
    </w:p>
    <w:p>
      <w:r>
        <w:t xml:space="preserve">lassen hat, für die rechtzeitige Erstellung der Jahresbilanz 1994 Sorge zu tra-</w:t>
      </w:r>
    </w:p>
    <w:p>
      <w:r>
        <w:t xml:space="preserve">gen, kommt eine Strafbarkeit nach § 283 Abs. 1 Nr. 7 Buchst. b StGB nach den</w:t>
      </w:r>
    </w:p>
    <w:p>
      <w:r>
        <w:t xml:space="preserve">getroffenen Feststellungen nicht in Betracht.</w:t>
      </w:r>
    </w:p>
    <w:p>
      <w:r>
        <w:t xml:space="preserve">Nach dieser Vorschrift ist die verspätete Bilanzierung nur dann strafbar,</w:t>
      </w:r>
    </w:p>
    <w:p>
      <w:r>
        <w:t xml:space="preserve">wenn zu dem Zeitpunkt, in dem die Bilanz spätestens zu erstellen war, Über-</w:t>
      </w:r>
    </w:p>
    <w:p>
      <w:r>
        <w:t xml:space="preserve">schuldung oder Zahlungsunfähigkeit oder zumindest drohende Zahlungsunfä-</w:t>
      </w:r>
    </w:p>
    <w:p>
      <w:r>
        <w:t xml:space="preserve">higkeit vorlag. Gemäß § 242, § 264 Abs. 1 Satz 3 HGB, § 267 Abs. 1 HGB aF</w:t>
      </w:r>
    </w:p>
    <w:p>
      <w:r>
        <w:t xml:space="preserve">hätte die tatsächlich erst im Oktober 1996 erstellte Bilanz für das Geschäftsjahr</w:t>
      </w:r>
    </w:p>
    <w:p>
      <w:r>
        <w:t xml:space="preserve">1994 spätestens zum 30. Juni 1995 vorliegen müssen. Zu diesem Zeitpunkt</w:t>
      </w:r>
    </w:p>
    <w:p>
      <w:r>
        <w:t xml:space="preserve">befand sich die G GmbH aber nach den Feststellungen des Landgerichts</w:t>
      </w:r>
    </w:p>
    <w:p>
      <w:r>
        <w:t xml:space="preserve">noch nicht in der Krise. Vielmehr drohte die Zahlungsunfähigkeit erst "Anfang</w:t>
      </w:r>
    </w:p>
    <w:p>
      <w:r>
        <w:t xml:space="preserve">1996" (UA S. 5). Der Angeklagte kann sich danach bezüglich der Bilanz für</w:t>
      </w:r>
    </w:p>
    <w:p>
      <w:r>
        <w:t xml:space="preserve">1994 allenfalls nach § 283 b Abs. 1 Nr. 3 Buchst. b i. V. m. § 14 Abs. 1 Nr. 1</w:t>
      </w:r>
    </w:p>
    <w:p>
      <w:r>
        <w:t xml:space="preserve">StGB strafbar gemacht haben (vgl. BGH NStZ 1998, 192, 193). Eine entspre-</w:t>
      </w:r>
    </w:p>
    <w:p>
      <w:r>
        <w:t xml:space="preserve">chende Abänderung des Schuldspruchs kommt aber schon deswegen nicht in</w:t>
      </w:r>
    </w:p>
    <w:p>
      <w:r>
        <w:t xml:space="preserve">Betracht, weil der erforderliche tatsächliche Zusammenhang zwischen der ver-</w:t>
      </w:r>
    </w:p>
    <w:p>
      <w:r>
        <w:t xml:space="preserve">späteten Bilanzerstellung und dem wirtschaftlichen Zusammenbruch der Ge-</w:t>
      </w:r>
    </w:p>
    <w:p>
      <w:r>
        <w:t xml:space="preserve">sellschaft nicht festgestellt ist (vgl. BGHSt 28, 231, 233 f.; BGHR StGB § 283 b</w:t>
      </w:r>
    </w:p>
    <w:p>
      <w:r>
        <w:t xml:space="preserve">Krise 1).</w:t>
      </w:r>
    </w:p>
    <w:p>
      <w:r>
        <w:t xml:space="preserve">c) Soweit das Landgericht den Angeklagten in vier weiteren Fällen des</w:t>
      </w:r>
    </w:p>
    <w:p>
      <w:r>
        <w:t xml:space="preserve">Bankrotts nach § 283 Abs. 1 Nr. 7 Buchst. b i. V. m. § 14 StGB schuldig ge-</w:t>
      </w:r>
    </w:p>
    <w:p>
      <w:r>
        <w:t xml:space="preserve">sprochen hat, weil die von ihm geführten Gesellschaften für die Geschäftsjahre</w:t>
      </w:r>
    </w:p>
    <w:p>
      <w:r>
        <w:t xml:space="preserve">1995 und 1996 keine Bilanz erstellt haben, fehlt es an der Feststellung, daß</w:t>
      </w:r>
    </w:p>
    <w:p>
      <w:r>
        <w:t xml:space="preserve">den Gesellschaften die Erfüllung ihrer Bilanzierungspflichten möglich gewesen</w:t>
      </w:r>
    </w:p>
    <w:p>
      <w:r>
        <w:t xml:space="preserve">wäre.</w:t>
      </w:r>
    </w:p>
    <w:p>
      <w:r>
        <w:t xml:space="preserve">§ 283 Abs. 1 Nr. 7 Buchst. b StGB ist ein echtes Unterlassungsdelikt; ei-</w:t>
      </w:r>
    </w:p>
    <w:p>
      <w:r>
        <w:t xml:space="preserve">ne Strafbarkeit entfällt daher, wenn der Täter aus fachlichen oder finanziellen</w:t>
      </w:r>
    </w:p>
    <w:p>
      <w:r>
        <w:t xml:space="preserve">Gründen zur Erstellung einer Bilanz nicht in der Lage war (vgl. BGHSt 28, 231,</w:t>
      </w:r>
    </w:p>
    <w:p>
      <w:r>
        <w:t xml:space="preserve">233; BGH NStZ 1992, 182; 1998, 192, 193). Nach den Feststellungen war die</w:t>
      </w:r>
    </w:p>
    <w:p>
      <w:r>
        <w:t xml:space="preserve">geplante Erledigung der Buchhaltungsaufgaben für beide Gesellschaften "im</w:t>
      </w:r>
    </w:p>
    <w:p>
      <w:r>
        <w:t xml:space="preserve">eigenen Haus" nicht möglich (UA S. 10); daß der Angeklagte selbst in der Lage</w:t>
      </w:r>
    </w:p>
    <w:p>
      <w:r>
        <w:t xml:space="preserve">gewesen wäre, eine Bilanz aufzustellen, liegt im Hinblick auf seinen Werde-</w:t>
      </w:r>
    </w:p>
    <w:p>
      <w:r>
        <w:t xml:space="preserve">gang fern. Das Landgericht hätte daher im Hinblick auf die bei den Konkursde-</w:t>
      </w:r>
    </w:p>
    <w:p>
      <w:r>
        <w:t xml:space="preserve">likten festgestellten Zahlungsschwierigkeiten prüfen müssen, ob die beiden</w:t>
      </w:r>
    </w:p>
    <w:p>
      <w:r>
        <w:t xml:space="preserve">Gesellschaften im maßgeblichen Zeitraum noch über die finanziellen Mittel</w:t>
      </w:r>
    </w:p>
    <w:p>
      <w:r>
        <w:t xml:space="preserve">verfügten, einen Steuerberater mit der Erstellung der Bilanz zu beauftragen.</w:t>
      </w:r>
    </w:p>
    <w:p>
      <w:r>
        <w:t xml:space="preserve">3. Im Fall II. 4. der Urteilsgründe tragen die Feststellungen den Schuld-</w:t>
      </w:r>
    </w:p>
    <w:p>
      <w:r>
        <w:t xml:space="preserve">spruch wegen vollendeten Betruges nicht.</w:t>
      </w:r>
    </w:p>
    <w:p>
      <w:r>
        <w:t xml:space="preserve">Danach veranlaßte der Angeklagte den Zeugen Gr. durch die</w:t>
      </w:r>
    </w:p>
    <w:p>
      <w:r>
        <w:t xml:space="preserve">wiederholte Zusicherung, der Zeuge werde sein Gehalt ausgezahlt bekommen,</w:t>
      </w:r>
    </w:p>
    <w:p>
      <w:r>
        <w:t xml:space="preserve">weiter für die G GmbH bzw. die E GmbH als LKW-Fahrer tätig zu sein,</w:t>
      </w:r>
    </w:p>
    <w:p>
      <w:r>
        <w:t xml:space="preserve">obwohl er - der Angeklagte - wußte, daß die von ihm geführten Gesellschaften</w:t>
      </w:r>
    </w:p>
    <w:p>
      <w:r>
        <w:t xml:space="preserve">die monatlichen Gehälter bei Fälligwerden voraussichtlich nicht würden zahlen</w:t>
      </w:r>
    </w:p>
    <w:p>
      <w:r>
        <w:t xml:space="preserve">können. Zwar waren bereits ab Mitte 1996 Gehaltsschecks zum Teil nicht mehr</w:t>
      </w:r>
    </w:p>
    <w:p>
      <w:r>
        <w:t xml:space="preserve">eingelöst worden. Jedoch wurden bis einschließlich Dezember 1996 die Ge-</w:t>
      </w:r>
    </w:p>
    <w:p>
      <w:r>
        <w:t xml:space="preserve">haltsforderungen des Zeugen letztlich in vollem Umfang beglichen; erst das</w:t>
      </w:r>
    </w:p>
    <w:p>
      <w:r>
        <w:t xml:space="preserve">Gehalt für die Monate Januar bis März 1997 wurde nicht mehr bezahlt.</w:t>
      </w:r>
    </w:p>
    <w:p>
      <w:r>
        <w:t xml:space="preserve">Bei dieser Sachlage kommt eine Verurteilung wegen vollendeten Betru-</w:t>
      </w:r>
    </w:p>
    <w:p>
      <w:r>
        <w:t xml:space="preserve">ges im Hinblick auf die vom Zeugen von Januar bis März 1997 erbrachte Ar-</w:t>
      </w:r>
    </w:p>
    <w:p>
      <w:r>
        <w:t xml:space="preserve">beitsleistung (vgl. BGH NStZ 2001, 258) nur in Betracht, wenn der Angeklagte</w:t>
      </w:r>
    </w:p>
    <w:p>
      <w:r>
        <w:t xml:space="preserve">diesem noch in zeitlicher Nähe zum Jahreswechsel Zusicherungen gemacht</w:t>
      </w:r>
    </w:p>
    <w:p>
      <w:r>
        <w:t xml:space="preserve">hätte. Das hat das Landgericht aber nicht festgestellt. In der bloßen Weiterbe-</w:t>
      </w:r>
    </w:p>
    <w:p>
      <w:r>
        <w:t xml:space="preserve">schäftigung des Zeugen in den Monaten Januar bis März 1997 liegt noch kein</w:t>
      </w:r>
    </w:p>
    <w:p>
      <w:r>
        <w:t xml:space="preserve">Vorspiegeln der Zahlungsfähigkeit durch schlüssiges Verhalten, zumal der</w:t>
      </w:r>
    </w:p>
    <w:p>
      <w:r>
        <w:t xml:space="preserve">Zeuge über die wirtschaftlichen Schwierigkeiten der Gesellschaften unterrichtet</w:t>
      </w:r>
    </w:p>
    <w:p>
      <w:r>
        <w:t xml:space="preserve">war.</w:t>
      </w:r>
    </w:p>
    <w:p>
      <w:r>
        <w:t xml:space="preserve">4. Auch in den Fällen II. 5., II. 6. und II. 10. der Urteilsgründe begegnet</w:t>
      </w:r>
    </w:p>
    <w:p>
      <w:r>
        <w:t xml:space="preserve">die Verurteilung des Angeklagten wegen Betruges durchgreifenden rechtlichen</w:t>
      </w:r>
    </w:p>
    <w:p>
      <w:r>
        <w:t xml:space="preserve">Bedenken.</w:t>
      </w:r>
    </w:p>
    <w:p>
      <w:r>
        <w:t xml:space="preserve">Das Landgericht wertet es als Betrug, daß der Angeklagte in diesen</w:t>
      </w:r>
    </w:p>
    <w:p>
      <w:r>
        <w:t xml:space="preserve">Fällen durch die Vereinbarung von Ratenzahlung bzw. durch die Annahme von</w:t>
      </w:r>
    </w:p>
    <w:p>
      <w:r>
        <w:t xml:space="preserve">Wechseln Gläubiger der von ihm geführten Gesellschaften von weitergehen-</w:t>
      </w:r>
    </w:p>
    <w:p>
      <w:r>
        <w:t xml:space="preserve">den Maßnahmen zur Realisierung ihrer titulierten oder verbrieften Forderungen</w:t>
      </w:r>
    </w:p>
    <w:p>
      <w:r>
        <w:t xml:space="preserve">abhielt, obwohl er wußte, daß die Gesellschaften die vereinbarten Raten vor-</w:t>
      </w:r>
    </w:p>
    <w:p>
      <w:r>
        <w:t xml:space="preserve">aussichtlich nicht würden zahlen bzw. die Wechselverbindlichkeiten zum Fäl-</w:t>
      </w:r>
    </w:p>
    <w:p>
      <w:r>
        <w:t xml:space="preserve">ligkeitstermin nicht würden einlösen können. Den Vermögensschaden sieht die</w:t>
      </w:r>
    </w:p>
    <w:p>
      <w:r>
        <w:t xml:space="preserve">Kammer darin, daß die Gläubiger anderenfalls "möglicherweise" einen größe-</w:t>
      </w:r>
    </w:p>
    <w:p>
      <w:r>
        <w:t xml:space="preserve">ren Teil ihrer Forderungen hätten realisieren können, weil die Gesellschaften</w:t>
      </w:r>
    </w:p>
    <w:p>
      <w:r>
        <w:t xml:space="preserve">"aufgrund von Zahlungseingängen vorübergehend noch über liquide Mittel"</w:t>
      </w:r>
    </w:p>
    <w:p>
      <w:r>
        <w:t xml:space="preserve">verfügten (UA S. 14).</w:t>
      </w:r>
    </w:p>
    <w:p>
      <w:r>
        <w:t xml:space="preserve">Dem kann nicht gefolgt werden. Die Stundung einer bestehenden Forde-</w:t>
      </w:r>
    </w:p>
    <w:p>
      <w:r>
        <w:t xml:space="preserve">rung bzw. die Rücknahme eines Zwangsvollstreckungsantrags begründet nur</w:t>
      </w:r>
    </w:p>
    <w:p>
      <w:r>
        <w:t xml:space="preserve">dann einen Vermögensschaden, wenn dadurch eine Verschlechterung der</w:t>
      </w:r>
    </w:p>
    <w:p>
      <w:r>
        <w:t xml:space="preserve">konkret gegebenen Vollstreckungsaussicht eintritt (RGSt 67, 200, 201 f.; OLG</w:t>
      </w:r>
    </w:p>
    <w:p>
      <w:r>
        <w:t xml:space="preserve">Düsseldorf NJW 1994, 3366, 3367). Das ist nicht der Fall, wenn der Schuldner</w:t>
      </w:r>
    </w:p>
    <w:p>
      <w:r>
        <w:t xml:space="preserve">schon im Zeitpunkt der Stundung kein pfändbares Vermögen mehr hat (OLG</w:t>
      </w:r>
    </w:p>
    <w:p>
      <w:r>
        <w:t xml:space="preserve">Stuttgart NJW 1963, 825, 826). Das Landgericht hätte deshalb für jeden Ein-</w:t>
      </w:r>
    </w:p>
    <w:p>
      <w:r>
        <w:t xml:space="preserve">zelfall feststellen müssen, ob die jeweilige Gesellschaft bei Abschluß der Ra-</w:t>
      </w:r>
    </w:p>
    <w:p>
      <w:r>
        <w:t xml:space="preserve">tenzahlungsvereinbarung bzw. der Wechselannahme noch über pfändbare</w:t>
      </w:r>
    </w:p>
    <w:p>
      <w:r>
        <w:t xml:space="preserve">Vermögenswerte verfügte. Allein die Möglichkeit, daß die Gesellschaften in der</w:t>
      </w:r>
    </w:p>
    <w:p>
      <w:r>
        <w:t xml:space="preserve">Folge (vorübergehend) wieder pfändbares Vermögen erlangen könnten, be-</w:t>
      </w:r>
    </w:p>
    <w:p>
      <w:r>
        <w:t xml:space="preserve">gründet keinen durch die Stundungen bewirkten Vermögensschaden, zumal</w:t>
      </w:r>
    </w:p>
    <w:p>
      <w:r>
        <w:t xml:space="preserve">demgegenüber auch zu beachten ist, daß der Angeklagte den anläßlich der</w:t>
      </w:r>
    </w:p>
    <w:p>
      <w:r>
        <w:t xml:space="preserve">Stundungen vereinbarten Ratenzahlungen zumindest teilweise nachgekommen</w:t>
      </w:r>
    </w:p>
    <w:p>
      <w:r>
        <w:t xml:space="preserve">ist (im Fall II. 10. immerhin in Höhe von 12.500 DM).</w:t>
      </w:r>
    </w:p>
    <w:p>
      <w:r>
        <w:t xml:space="preserve">5. Der Strafausspruch hat insgesamt keinen Bestand. Soweit das Land-</w:t>
      </w:r>
    </w:p>
    <w:p>
      <w:r>
        <w:t xml:space="preserve">gericht in den Fällen II. 7. und II. 9. der Urteilsgründe Einzelstrafen von unter</w:t>
      </w:r>
    </w:p>
    <w:p>
      <w:r>
        <w:t xml:space="preserve">sechs Monaten verhängt hat, können diese schon deswegen nicht aufrechter-</w:t>
      </w:r>
    </w:p>
    <w:p>
      <w:r>
        <w:t xml:space="preserve">halten werden, weil die Voraussetzungen des § 47 Abs. 1 StGB nicht dargelegt</w:t>
      </w:r>
    </w:p>
    <w:p>
      <w:r>
        <w:t xml:space="preserve">sind. Eine Anwendung dieser Vorschrift lag hier nicht derart fern, daß es ihrer</w:t>
      </w:r>
    </w:p>
    <w:p>
      <w:r>
        <w:t xml:space="preserve">Erörterung in den Urteilsgründen nicht bedurft hätte. Der Senat hebt auch die</w:t>
      </w:r>
    </w:p>
    <w:p>
      <w:r>
        <w:t xml:space="preserve">danach noch verbleibenden Einzelstrafen auf, um dem neuen Tatrichter eine</w:t>
      </w:r>
    </w:p>
    <w:p>
      <w:r>
        <w:t xml:space="preserve">insgesamt in sich stimmige Strafzumessung zu ermöglichen.</w:t>
      </w:r>
    </w:p>
    <w:p>
      <w:r>
        <w:t xml:space="preserve">6. Die Freisprüche in den Fällen V. 2. bis V. 4. der Urteilsgründe können</w:t>
      </w:r>
    </w:p>
    <w:p>
      <w:r>
        <w:t xml:space="preserve">nicht bestehen bleiben.</w:t>
      </w:r>
    </w:p>
    <w:p>
      <w:r>
        <w:t xml:space="preserve">Auf der Grundlage seiner Rechtsauffassung geht das Landgericht zwar</w:t>
      </w:r>
    </w:p>
    <w:p>
      <w:r>
        <w:t xml:space="preserve">zutreffend davon aus, daß die laut Anklage tatmehrheitlich begangenen weite-</w:t>
      </w:r>
    </w:p>
    <w:p>
      <w:r>
        <w:t xml:space="preserve">ren Betrugstaten zum Nachteil des Zeugen Gr. bzw. der Firma V.</w:t>
      </w:r>
    </w:p>
    <w:p>
      <w:r>
        <w:t xml:space="preserve">als mitbestrafte Nachtaten anzusehen wären und die dem Angeklagten als</w:t>
      </w:r>
    </w:p>
    <w:p>
      <w:r>
        <w:t xml:space="preserve">selbständige Handlungen zur Last gelegten weiteren Betrugstaten zum Nach-</w:t>
      </w:r>
    </w:p>
    <w:p>
      <w:r>
        <w:t xml:space="preserve">teil der J. GmbH jeweils mit einer der abgeurteilten Taten zum Nachteil</w:t>
      </w:r>
    </w:p>
    <w:p>
      <w:r>
        <w:t xml:space="preserve">dieses Unternehmens (Fälle II. 5. a und b der Urteilsgründe) eine Tat im Sinne</w:t>
      </w:r>
    </w:p>
    <w:p>
      <w:r>
        <w:t xml:space="preserve">natürlicher Handlungseinheit bildeten. Dies rechtfertigt den Teilfreispruch in-</w:t>
      </w:r>
    </w:p>
    <w:p>
      <w:r>
        <w:t xml:space="preserve">dessen nicht.</w:t>
      </w:r>
    </w:p>
    <w:p>
      <w:r>
        <w:t xml:space="preserve">Allerdings ist ein Angeklagter, der nicht wegen aller Delikte verurteilt</w:t>
      </w:r>
    </w:p>
    <w:p>
      <w:r>
        <w:t xml:space="preserve">wird, die er der Anklage zufolge in Tatmehrheit begangen haben soll, insoweit</w:t>
      </w:r>
    </w:p>
    <w:p>
      <w:r>
        <w:t xml:space="preserve">freizusprechen, um Anklage und Eröffnungsbeschluß zu erschöpfen; dies gilt</w:t>
      </w:r>
    </w:p>
    <w:p>
      <w:r>
        <w:t xml:space="preserve">auch dann, wenn das Gericht das Konkurrenzverhältnis anders beurteilt und</w:t>
      </w:r>
    </w:p>
    <w:p>
      <w:r>
        <w:t xml:space="preserve">von Tateinheit ausgeht (st. Rspr., vgl. BGHSt 44, 196, 202). Voraussetzung ist</w:t>
      </w:r>
    </w:p>
    <w:p>
      <w:r>
        <w:t xml:space="preserve">jedoch, daß das Gericht die als tatmehrheitlich angeklagte "Tat" nicht für er-</w:t>
      </w:r>
    </w:p>
    <w:p>
      <w:r>
        <w:t xml:space="preserve">wiesen hält (BGHSt aaO; BGHR StPO § 260 Abs. 1 Teilfreispruch 2). So ver-</w:t>
      </w:r>
    </w:p>
    <w:p>
      <w:r>
        <w:t xml:space="preserve">hält es sich hier gerade nicht: Das Landgericht hat den Angeklagten lediglich</w:t>
      </w:r>
    </w:p>
    <w:p>
      <w:r>
        <w:t xml:space="preserve">deshalb freigesprochen, weil die fraglichen Betrugstaten nach seiner rechtli-</w:t>
      </w:r>
    </w:p>
    <w:p>
      <w:r>
        <w:t xml:space="preserve">chen Würdigung nicht Gegenstand eines selbständigen Schuld- und Strafaus-</w:t>
      </w:r>
    </w:p>
    <w:p>
      <w:r>
        <w:t xml:space="preserve">spruchs sein konnten. Unter diesen Umständen ist für einen Teilfreispruch kein</w:t>
      </w:r>
    </w:p>
    <w:p>
      <w:r>
        <w:t xml:space="preserve">Raum (vgl. auch BGH NStZ 1994, 547, 548; BGH bei Becker NStZ-RR 2002,</w:t>
      </w:r>
    </w:p>
    <w:p>
      <w:r>
        <w:t xml:space="preserve">72 Nr. 26; BGH, Beschl. vom 26. Juni 2002 - 3 StR 176/02). Das Verschlechte-</w:t>
      </w:r>
    </w:p>
    <w:p>
      <w:r>
        <w:t xml:space="preserve">rungsverbot steht der Aufhebung des Teilfreispruchs nicht entgegen.</w:t>
      </w:r>
    </w:p>
    <w:p>
      <w:r>
        <w:t xml:space="preserve">7. Der Senat macht von der Möglichkeit des § 354 Abs. 2 Satz 1 Alt. 2</w:t>
      </w:r>
    </w:p>
    <w:p>
      <w:r>
        <w:t xml:space="preserve">StPO Gebrauch und verweist die Sache an die Wirtschaftsstrafkammer des</w:t>
      </w:r>
    </w:p>
    <w:p>
      <w:r>
        <w:t xml:space="preserve">Landgerichts Duisburg zurück.</w:t>
      </w:r>
    </w:p>
    <w:p>
      <w:r>
        <w:t xml:space="preserve">Tolksdorf Miebach Winkler</w:t>
      </w:r>
    </w:p>
    <w:p>
      <w:r>
        <w:t xml:space="preserve">Pfister Becker</w:t>
      </w:r>
    </w:p>
    <w:p>
      <w:r>
        <w:rPr>
          <w:color w:val="555555"/>
          <w:sz w:val="17"/>
        </w:rPr>
        <w:t xml:space="preserve">Zitiervorschlag: BGH, Beschluss vom 30.01.2003 – 3 StR 437/02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https://recht.nulegal.eu/rechtsprechung/bgh/2003-01-30/3-str-437-02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