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29.01.2003 – 5 StR 475/02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5 StR 475/02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 29. Januar 2003 in der Strafsache gegen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wegen räuberischer Erpressung mit Todesfolge u.a.</w:t>
      </w:r>
    </w:p>
    <w:p>
      <w:r>
        <w:t xml:space="preserve">Der 5. Strafsenat des Bundesgerichtshofs hat am 29. Januar 2003</w:t>
      </w:r>
    </w:p>
    <w:p>
      <w:r>
        <w:t xml:space="preserve">beschlossen:</w:t>
      </w:r>
    </w:p>
    <w:p>
      <w:r>
        <w:t xml:space="preserve">Die Revisionen der Angeklagten S , D und Ö</w:t>
      </w:r>
    </w:p>
    <w:p>
      <w:r>
        <w:t xml:space="preserve">gegen das Urteil des Landgerichts Hamburg vom</w:t>
      </w:r>
    </w:p>
    <w:p>
      <w:r>
        <w:t xml:space="preserve">5. April 2002 werden nach § 349 Abs. 2 StPO als unbegrün-</w:t>
      </w:r>
    </w:p>
    <w:p>
      <w:r>
        <w:t xml:space="preserve">det verworfen.</w:t>
      </w:r>
    </w:p>
    <w:p>
      <w:r>
        <w:t xml:space="preserve">Die Beschwerdeführer haben die Kosten ihrer Rechtsmittel</w:t>
      </w:r>
    </w:p>
    <w:p>
      <w:r>
        <w:t xml:space="preserve">zu tragen.</w:t>
      </w:r>
    </w:p>
    <w:p>
      <w:r>
        <w:t xml:space="preserve">G r ü n d e</w:t>
      </w:r>
    </w:p>
    <w:p>
      <w:r>
        <w:t xml:space="preserve">Die Revisionen der Angeklagten haben aus den vom Generalbundes-</w:t>
      </w:r>
    </w:p>
    <w:p>
      <w:r>
        <w:t xml:space="preserve">anwalt in der Antragsschrift angegebenen Gründen keinen Erfolg.</w:t>
      </w:r>
    </w:p>
    <w:p>
      <w:r>
        <w:t xml:space="preserve">Ergänzend bemerkt der Senat: Für die vom Angeklagten Ö er-</w:t>
      </w:r>
    </w:p>
    <w:p>
      <w:r>
        <w:t xml:space="preserve">hobene Besetzungsrüge gelten die Ausführungen des Generalbundesan-</w:t>
      </w:r>
    </w:p>
    <w:p>
      <w:r>
        <w:t xml:space="preserve">walts im Antrag vom 13. November 2002 (B. I. 1.) entsprechend. Keinen Er-</w:t>
      </w:r>
    </w:p>
    <w:p>
      <w:r>
        <w:t xml:space="preserve">folg hat auch die Rüge des Angeklagten D , die polizeilichen Verneh-</w:t>
      </w:r>
    </w:p>
    <w:p>
      <w:r>
        <w:t xml:space="preserve">mungsbeamten hätten ihm nach seiner Festnahme nicht vorenthalten dürfen,</w:t>
      </w:r>
    </w:p>
    <w:p>
      <w:r>
        <w:t xml:space="preserve">daß sich für ihn bereits ein Rechtsanwalt als möglicher Verteidiger gemeldet</w:t>
      </w:r>
    </w:p>
    <w:p>
      <w:r>
        <w:t xml:space="preserve">habe, mit der etwaigen Folge, daß seine damaligen Angaben nicht hätten</w:t>
      </w:r>
    </w:p>
    <w:p>
      <w:r>
        <w:t xml:space="preserve">verwertet werden dürfen (vgl. dazu BGH NStZ 1997, 502; Meyer-Goßner,</w:t>
      </w:r>
    </w:p>
    <w:p>
      <w:r>
        <w:t xml:space="preserve">StPO 46. Aufl. § 136 Rdn. 10; Lüderssen in Löwe/Rosenberg, StPO 25. Aufl.</w:t>
      </w:r>
    </w:p>
    <w:p>
      <w:r>
        <w:t xml:space="preserve">§ 137 Rdn. 67). Die Verfahrensrüge genügt nicht den Anforderungen des</w:t>
      </w:r>
    </w:p>
    <w:p>
      <w:r>
        <w:t xml:space="preserve">§ 344 Abs. 2 Satz 2 StPO, da die Revision verschweigt, daß der Angeklagte</w:t>
      </w:r>
    </w:p>
    <w:p>
      <w:r>
        <w:t xml:space="preserve">sich am 20. November 2001 – nach Konsultation seines Verteidigers – er-</w:t>
      </w:r>
    </w:p>
    <w:p>
      <w:r>
        <w:t xml:space="preserve">neut zur Sache eingelassen und die Richtigkeit seiner früheren Angaben be-</w:t>
      </w:r>
    </w:p>
    <w:p>
      <w:r>
        <w:t xml:space="preserve">stätigt hat (Sachakten Bl. 619-621).</w:t>
      </w:r>
    </w:p>
    <w:p>
      <w:r>
        <w:t xml:space="preserve">Harms Häger Basdorf</w:t>
      </w:r>
    </w:p>
    <w:p>
      <w:r>
        <w:t xml:space="preserve">Gerhardt Raum</w:t>
      </w:r>
    </w:p>
    <w:p>
      <w:r>
        <w:rPr>
          <w:color w:val="555555"/>
          <w:sz w:val="17"/>
        </w:rPr>
        <w:t xml:space="preserve">Zitiervorschlag: BGH, Beschluss vom 29.01.2003 – 5 StR 475/02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https://recht.nulegal.eu/rechtsprechung/bgh/2003-01-29/5-str-475-02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