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15.01.2003 – II ZB 13/00</w:t>
      </w:r>
    </w:p>
    <w:p>
      <w:r>
        <w:rPr>
          <w:color w:val="555555"/>
          <w:sz w:val="18"/>
        </w:rPr>
        <w:t xml:space="preserve">II. Zivilsenat</w:t>
      </w:r>
    </w:p>
    <w:p>
      <w:r>
        <w:t xml:space="preserve">BUNDESGERICHTSHOF</w:t>
      </w:r>
    </w:p>
    <w:p>
      <w:r>
        <w:t xml:space="preserve">II ZB 13/00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15. Januar 2003</w:t>
      </w:r>
    </w:p>
    <w:p>
      <w:r>
        <w:t xml:space="preserve">in dem Beschwerdeverfahren</w:t>
      </w:r>
    </w:p>
    <w:p>
      <w:r>
        <w:t xml:space="preserve">Der II. Zivilsenat des Bundesgerichtshofes hat am 15. Januar 2003 durch</w:t>
      </w:r>
    </w:p>
    <w:p>
      <w:r>
        <w:t xml:space="preserve">den Vorsitzenden Richter Dr. h.c. Röhricht und die Richter Dr. Hesselberger,</w:t>
      </w:r>
    </w:p>
    <w:p>
      <w:r>
        <w:t xml:space="preserve">Prof. Dr. Henze, Kraemer und die Richterin Münke</w:t>
      </w:r>
    </w:p>
    <w:p>
      <w:r>
        <w:t xml:space="preserve">beschlossen:</w:t>
      </w:r>
    </w:p>
    <w:p>
      <w:r>
        <w:t xml:space="preserve">Die Gegenvorstellung der Beteiligten zu Ziffer 1 vom 7. Oktober</w:t>
      </w:r>
    </w:p>
    <w:p>
      <w:r>
        <w:t xml:space="preserve">2002 gegen den Beschluß des Senates vom 11. September 2002</w:t>
      </w:r>
    </w:p>
    <w:p>
      <w:r>
        <w:t xml:space="preserve">wird zurückgewiesen.</w:t>
      </w:r>
    </w:p>
    <w:p>
      <w:pPr>
        <w:pStyle w:val="Heading2"/>
      </w:pPr>
      <w:r>
        <w:t xml:space="preserve">Gründe</w:t>
      </w:r>
    </w:p>
    <w:p>
      <w:r>
        <w:t xml:space="preserve">1. Entgegen der Ansicht der Beteiligten Ziffer 1 tragen die Beschwerde-</w:t>
      </w:r>
    </w:p>
    <w:p>
      <w:r>
        <w:t xml:space="preserve">führer die Kosten des Beschwerdeverfahrens und damit auch die Vergütung</w:t>
      </w:r>
    </w:p>
    <w:p>
      <w:r>
        <w:t xml:space="preserve">des Vertreters der außenstehenden Aktionäre. Für die Entscheidung über die</w:t>
      </w:r>
    </w:p>
    <w:p>
      <w:r>
        <w:t xml:space="preserve">außergerichtlichen Kosten ist § 13 a Abs. 1 FGG maßgebend (Hüffer, AktG</w:t>
      </w:r>
    </w:p>
    <w:p>
      <w:r>
        <w:t xml:space="preserve">5. Aufl. § 307 Rdn. 22; MünchKomm. AktG/Bilda, 2. Aufl. § 307 Rdn. 169</w:t>
      </w:r>
    </w:p>
    <w:p>
      <w:r>
        <w:t xml:space="preserve">m.w.N. in Fußnote 210). Nach Satz 2 dieser Vorschrift sind einem Verfahrens-</w:t>
      </w:r>
    </w:p>
    <w:p>
      <w:r>
        <w:t xml:space="preserve">beteiligten die Kosten aufzuerlegen, die er durch ein erfolgloses Rechtsmittel</w:t>
      </w:r>
    </w:p>
    <w:p>
      <w:r>
        <w:t xml:space="preserve">veranlaßt hat. Diese Voraussetzung ist im vorliegenden Falle gegeben. Die An-</w:t>
      </w:r>
    </w:p>
    <w:p>
      <w:r>
        <w:t xml:space="preserve">tragsteller zu 1 und 7 haben einen nach dem Gesetz unanfechtbaren Beschluß</w:t>
      </w:r>
    </w:p>
    <w:p>
      <w:r>
        <w:t xml:space="preserve">ohne Erfolg mit einem Rechtsmittel angegriffen. Zwar unterliegt ein solcher Be-</w:t>
      </w:r>
    </w:p>
    <w:p>
      <w:r>
        <w:t xml:space="preserve">schluß dann der Anfechtung, wenn er mit der geltenden Rechtsordnung</w:t>
      </w:r>
    </w:p>
    <w:p>
      <w:r>
        <w:t xml:space="preserve">schlechthin unvereinbar ist. Diese Voraussetzung war jedoch, wie im Senatsbe-</w:t>
      </w:r>
    </w:p>
    <w:p>
      <w:r>
        <w:t xml:space="preserve">schluß vom 24. September 2001 im einzelnen ausgeführt worden ist, nicht er-</w:t>
      </w:r>
    </w:p>
    <w:p>
      <w:r>
        <w:t xml:space="preserve">füllt.</w:t>
      </w:r>
    </w:p>
    <w:p>
      <w:r>
        <w:t xml:space="preserve">2. Entgegen der Ansicht der Beteiligten zu 1 waren die durch Einschal-</w:t>
      </w:r>
    </w:p>
    <w:p>
      <w:r>
        <w:t xml:space="preserve">tung des Vertreters der außenstehenden Aktionäre entstandenen Kosten auch</w:t>
      </w:r>
    </w:p>
    <w:p>
      <w:r>
        <w:t xml:space="preserve">zur zweckentsprechenden Erledigung der Angelegenheit im Sinne des § 13 a</w:t>
      </w:r>
    </w:p>
    <w:p>
      <w:r>
        <w:t xml:space="preserve">Abs. 1 Satz 1 FGG notwendig. Da er vom Landgericht bestellt worden war,</w:t>
      </w:r>
    </w:p>
    <w:p>
      <w:r>
        <w:t xml:space="preserve">hatte er die Belange der außenstehenden Aktionäre auch im Rechtsmittelver-</w:t>
      </w:r>
    </w:p>
    <w:p>
      <w:r>
        <w:t xml:space="preserve">fahren wahrzunehmen.</w:t>
      </w:r>
    </w:p>
    <w:p>
      <w:r>
        <w:t xml:space="preserve">Auch hinsichtlich der Höhe der festgesetzten Vergütung bestehen</w:t>
      </w:r>
    </w:p>
    <w:p>
      <w:r>
        <w:t xml:space="preserve">- anders als die Beteiligten zu Ziffer 1 ausführen - keine Bedenken. Zu berück-</w:t>
      </w:r>
    </w:p>
    <w:p>
      <w:r>
        <w:t xml:space="preserve">sichtigen ist einmal, daß der Geschäftswert des Beschwerdeverfahrens durch</w:t>
      </w:r>
    </w:p>
    <w:p>
      <w:r>
        <w:t xml:space="preserve">Senatsbeschluß vom 11. Februar 2002 entsprechend dem Vortrag der Antrag-</w:t>
      </w:r>
    </w:p>
    <w:p>
      <w:r>
        <w:t xml:space="preserve">steller zu 1 herabgesetzt worden ist. Zum anderen bewegt sich die festgesetzte</w:t>
      </w:r>
    </w:p>
    <w:p>
      <w:r>
        <w:t xml:space="preserve">Vergütung am unteren Gebührenrahmen des § 118 Abs. 1 BRAGO.</w:t>
      </w:r>
    </w:p>
    <w:p>
      <w:r>
        <w:t xml:space="preserve">Röhricht Hesselberger Henze</w:t>
      </w:r>
    </w:p>
    <w:p>
      <w:r>
        <w:t xml:space="preserve">Kraemer Münke</w:t>
      </w:r>
    </w:p>
    <w:p>
      <w:r>
        <w:rPr>
          <w:color w:val="555555"/>
          <w:sz w:val="17"/>
        </w:rPr>
        <w:t xml:space="preserve">Zitiervorschlag: BGH, Beschluss vom 15.01.2003 – II ZB 13/00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https://recht.nulegal.eu/rechtsprechung/bgh/2003-01-15/ii-zb-13-00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