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BGH, Beschluss vom 07.11.2002 – 5 StR 357/02</w:t>
      </w:r>
    </w:p>
    <w:p>
      <w:r>
        <w:rPr>
          <w:color w:val="555555"/>
          <w:sz w:val="18"/>
        </w:rPr>
        <w:t xml:space="preserve">5. Strafsenat</w:t>
      </w:r>
    </w:p>
    <w:p>
      <w:r>
        <w:t xml:space="preserve">5 StR 357/02 (alt: 5 StR 75/01)</w:t>
      </w:r>
    </w:p>
    <w:p>
      <w:r>
        <w:t xml:space="preserve">BUNDESGERICHTSHOF</w:t>
      </w:r>
    </w:p>
    <w:p>
      <w:pPr>
        <w:pStyle w:val="Heading2"/>
      </w:pPr>
      <w:r>
        <w:t xml:space="preserve">BESCHLUSS</w:t>
      </w:r>
    </w:p>
    <w:p>
      <w:r>
        <w:t xml:space="preserve">vom 7. November 2002 in der Strafsache gegen</w:t>
      </w:r>
    </w:p>
    <w:p>
      <w:r>
        <w:t xml:space="preserve">wegen Betruges u.a.</w:t>
      </w:r>
    </w:p>
    <w:p>
      <w:r>
        <w:t xml:space="preserve">Der 5. Strafsenat des Bundesgerichtshofs hat am 7. November 2002</w:t>
      </w:r>
    </w:p>
    <w:p>
      <w:r>
        <w:t xml:space="preserve">beschlossen:</w:t>
      </w:r>
    </w:p>
    <w:p>
      <w:r>
        <w:t xml:space="preserve">1. Auf die Revision des Angeklagten wird das Urteil des</w:t>
      </w:r>
    </w:p>
    <w:p>
      <w:r>
        <w:t xml:space="preserve">Landgerichts Neuruppin vom 28. März 2002 nach § 349</w:t>
      </w:r>
    </w:p>
    <w:p>
      <w:r>
        <w:t xml:space="preserve">Abs. 4 StPO im Ausspruch über die Gesamtfreiheitsstra-</w:t>
      </w:r>
    </w:p>
    <w:p>
      <w:r>
        <w:t xml:space="preserve">fen aufgehoben.</w:t>
      </w:r>
    </w:p>
    <w:p>
      <w:r>
        <w:t xml:space="preserve">2. Die weitergehende Revision wird nach § 349 Abs. 2 StPO</w:t>
      </w:r>
    </w:p>
    <w:p>
      <w:r>
        <w:t xml:space="preserve">als unbegründet verworfen.</w:t>
      </w:r>
    </w:p>
    <w:p>
      <w:r>
        <w:t xml:space="preserve">3. Im Umfang der Aufhebung wird die Sache zu neuer Ver-</w:t>
      </w:r>
    </w:p>
    <w:p>
      <w:r>
        <w:t xml:space="preserve">handlung und Entscheidung, auch über die Kosten des</w:t>
      </w:r>
    </w:p>
    <w:p>
      <w:r>
        <w:t xml:space="preserve">Rechtsmittels, an eine andere Strafkammer des Landge-</w:t>
      </w:r>
    </w:p>
    <w:p>
      <w:r>
        <w:t xml:space="preserve">richts zurückverwiesen.</w:t>
      </w:r>
    </w:p>
    <w:p>
      <w:r>
        <w:t xml:space="preserve">G r ü n d e</w:t>
      </w:r>
    </w:p>
    <w:p>
      <w:r>
        <w:t xml:space="preserve">Das Landgericht hat den Angeklagten wegen Betruges in neun Fällen</w:t>
      </w:r>
    </w:p>
    <w:p>
      <w:r>
        <w:t xml:space="preserve">und anderer Taten (Tatzeit: September 1996 bis 16. Juni 1997) unter Einbe-</w:t>
      </w:r>
    </w:p>
    <w:p>
      <w:r>
        <w:t xml:space="preserve">ziehung von elf im Strafbefehl vom 17. Juni 1997 verhängten Einzelstrafen</w:t>
      </w:r>
    </w:p>
    <w:p>
      <w:r>
        <w:t xml:space="preserve">zu einer Gesamtfreiheitsstrafe von drei Jahren und darüber hinaus wegen</w:t>
      </w:r>
    </w:p>
    <w:p>
      <w:r>
        <w:t xml:space="preserve">Betruges in neun weiteren Fällen und anderer Taten (Tatzeit: 25. Juni 1997</w:t>
      </w:r>
    </w:p>
    <w:p>
      <w:r>
        <w:t xml:space="preserve">bis Dezember 1997) zu einer Gesamtfreiheitsstrafe von zwei Jahren und</w:t>
      </w:r>
    </w:p>
    <w:p>
      <w:r>
        <w:t xml:space="preserve">sechs Monaten verurteilt.</w:t>
      </w:r>
    </w:p>
    <w:p>
      <w:r>
        <w:t xml:space="preserve">Die Revision des Angeklagten zum Schuldspruch und zu den Einzel-</w:t>
      </w:r>
    </w:p>
    <w:p>
      <w:r>
        <w:t xml:space="preserve">strafaussprüchen ist unbegründet im Sinne des § 349 Abs. 2 StPO. Sie führt</w:t>
      </w:r>
    </w:p>
    <w:p>
      <w:r>
        <w:t xml:space="preserve">jedoch mit der Sachrüge zur Aufhebung der beiden Gesamtfreiheitsstrafen.</w:t>
      </w:r>
    </w:p>
    <w:p>
      <w:r>
        <w:t xml:space="preserve">Die Strafkammer sah sich an der Bildung nur einer Gesamtfreiheitsstrafe ge-</w:t>
      </w:r>
    </w:p>
    <w:p>
      <w:r>
        <w:t xml:space="preserve">hindert, da sie dem Strafbefehl vom 17. Juni 1997 zäsurbildende Wirkung</w:t>
      </w:r>
    </w:p>
    <w:p>
      <w:r>
        <w:t xml:space="preserve">beigemessen hat. Diese Annahme träfe indes nur zu, wenn die dort abgeur-</w:t>
      </w:r>
    </w:p>
    <w:p>
      <w:r>
        <w:t xml:space="preserve">teilten und zwischen 1993 bis 1995 begangenen Taten nicht schon mit einer</w:t>
      </w:r>
    </w:p>
    <w:p>
      <w:r>
        <w:t xml:space="preserve">früheren Vorverurteilung auf eine Gesamtstrafe hätten zurückgeführt werden</w:t>
      </w:r>
    </w:p>
    <w:p>
      <w:r>
        <w:t xml:space="preserve">können. Als</w:t>
      </w:r>
    </w:p>
    <w:p>
      <w:r>
        <w:t xml:space="preserve">frühere grundsätzlich gesamtstrafenfähige Vorverurteilung</w:t>
      </w:r>
    </w:p>
    <w:p>
      <w:r>
        <w:t xml:space="preserve">kommt insoweit der Strafbefehl des Amtsgerichts Verden vom 3. Juli 1996 in</w:t>
      </w:r>
    </w:p>
    <w:p>
      <w:r>
        <w:t xml:space="preserve">Betracht, mit dem gegen den Angeklagten eine Geldstrafe verhängt worden</w:t>
      </w:r>
    </w:p>
    <w:p>
      <w:r>
        <w:t xml:space="preserve">ist. Die Bildung einer Gesamtstrafe mit dieser Vorverurteilung wäre nur dann</w:t>
      </w:r>
    </w:p>
    <w:p>
      <w:r>
        <w:t xml:space="preserve">ausgeschlossen, wenn die dort verhängte Geldstrafe durch Vollstreckung</w:t>
      </w:r>
    </w:p>
    <w:p>
      <w:r>
        <w:t xml:space="preserve">erledigt gewesen wäre (vgl. BGHSt 32, 190, 193; Tröndle/Fischer, StGB</w:t>
      </w:r>
    </w:p>
    <w:p>
      <w:r>
        <w:t xml:space="preserve">50. Aufl. § 55 Rdn. 13). Zum Stand der Vollstreckung jener Entscheidung</w:t>
      </w:r>
    </w:p>
    <w:p>
      <w:r>
        <w:t xml:space="preserve">– maßgeblicher Zeitpunkt ist die Verhandlung vor der ersten revisionsgericht-</w:t>
      </w:r>
    </w:p>
    <w:p>
      <w:r>
        <w:t xml:space="preserve">lichen Teilaufhebung und Zurückverweisung (vgl. BGHR StGB § 55 Abs. 1</w:t>
      </w:r>
    </w:p>
    <w:p>
      <w:r>
        <w:t xml:space="preserve">Satz 1 Erledigung 2), hier der 15. September 2000 – verhält sich das ange-</w:t>
      </w:r>
    </w:p>
    <w:p>
      <w:r>
        <w:t xml:space="preserve">fochtene Urteil jedoch nicht. Dieser Erörterungsmangel zieht die Aufhebung</w:t>
      </w:r>
    </w:p>
    <w:p>
      <w:r>
        <w:t xml:space="preserve">der Gesamtstrafen nach sich.</w:t>
      </w:r>
    </w:p>
    <w:p>
      <w:r>
        <w:t xml:space="preserve">Der Aufhebung von Feststellungen bedarf es insoweit nicht. Der neue</w:t>
      </w:r>
    </w:p>
    <w:p>
      <w:r>
        <w:t xml:space="preserve">Tatrichter muß lediglich die erforderliche ergänzende Feststellung zu jenem</w:t>
      </w:r>
    </w:p>
    <w:p>
      <w:r>
        <w:t xml:space="preserve">Vollstreckungsstand treffen. Sollte er danach erneut zur Einbeziehung wie</w:t>
      </w:r>
    </w:p>
    <w:p>
      <w:r>
        <w:t xml:space="preserve">bisher und zur Bildung von zwei Gesamtfreiheitsstrafen kommen, wird er</w:t>
      </w:r>
    </w:p>
    <w:p>
      <w:r>
        <w:t xml:space="preserve">über die Anrechnung von Leistungen nach § 56b Abs. 2 Nr. 2 bis 4 StGB</w:t>
      </w:r>
    </w:p>
    <w:p>
      <w:r>
        <w:t xml:space="preserve">– hier die Zahlung von 5.000 DM (UA S. 6) – bei Einbeziehung einer Bewäh-</w:t>
      </w:r>
    </w:p>
    <w:p>
      <w:r>
        <w:t xml:space="preserve">rungsstrafe in eine nicht mehr zur Bewährung ausgesetzte Gesamtfreiheits-</w:t>
      </w:r>
    </w:p>
    <w:p>
      <w:r>
        <w:t xml:space="preserve">strafe gemäß § 58 Abs. 2 Satz 3, § 56f Abs. 3 Satz 2 StGB ausdrücklich zu</w:t>
      </w:r>
    </w:p>
    <w:p>
      <w:r>
        <w:t xml:space="preserve">befinden haben (BGHSt 36, 378).</w:t>
      </w:r>
    </w:p>
    <w:p>
      <w:r>
        <w:t xml:space="preserve">Harms Häger Basdorf</w:t>
      </w:r>
    </w:p>
    <w:p>
      <w:r>
        <w:t xml:space="preserve">Gerhardt Raum</w:t>
      </w:r>
    </w:p>
    <w:p>
      <w:r>
        <w:rPr>
          <w:color w:val="555555"/>
          <w:sz w:val="17"/>
        </w:rPr>
        <w:t xml:space="preserve">Zitiervorschlag: BGH, Beschluss vom 07.11.2002 – 5 StR 357/02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https://recht.nulegal.eu/rechtsprechung/bgh/2002-11-07/5-str-357-02</w:t>
      </w:r>
    </w:p>
    <w:p>
      <w:r>
        <w:rPr>
          <w:color w:val="767676"/>
          <w:sz w:val="15"/>
        </w:rPr>
        <w:t xml:space="preserve">nu:legal · recht.nulegal.eu · Nicht-amtliche Fassung. Maßgeblich ist die Fassung des Gerichts.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