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21.10.2002 – 5 ARs 33/02</w:t>
      </w:r>
    </w:p>
    <w:p>
      <w:r>
        <w:rPr>
          <w:color w:val="555555"/>
          <w:sz w:val="18"/>
        </w:rPr>
        <w:t xml:space="preserve">5. Strafsenat</w:t>
      </w:r>
    </w:p>
    <w:p>
      <w:r>
        <w:t xml:space="preserve">5 ARs 33/02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 21. Oktober 2002 in der Strafsache gegen</w:t>
      </w:r>
    </w:p>
    <w:p>
      <w:r>
        <w:t xml:space="preserve">wegen versuchten Mordes u.a.</w:t>
      </w:r>
    </w:p>
    <w:p>
      <w:r>
        <w:t xml:space="preserve">hier: Anfragebeschluß vom 14. August 2002 – 2 StR 251/02</w:t>
      </w:r>
    </w:p>
    <w:p>
      <w:r>
        <w:t xml:space="preserve">Der 5. Strafsenat des Bundesgerichtshofs hat am 21. Oktober 2002 gemäß</w:t>
      </w:r>
    </w:p>
    <w:p>
      <w:r>
        <w:t xml:space="preserve">§ 132 Abs. 3 Satz 3 GVG beschlossen:</w:t>
      </w:r>
    </w:p>
    <w:p>
      <w:r>
        <w:t xml:space="preserve">Der Senat stimmt dem im Tenor des Anfragebeschlusses</w:t>
      </w:r>
    </w:p>
    <w:p>
      <w:r>
        <w:t xml:space="preserve">genannten Rechtssatz zu (vgl. auch Beschluß des Senates</w:t>
      </w:r>
    </w:p>
    <w:p>
      <w:r>
        <w:t xml:space="preserve">vom 19. Juli 1983 – 5 StR 472/83, StV 1983, 413).</w:t>
      </w:r>
    </w:p>
    <w:p>
      <w:r>
        <w:t xml:space="preserve">Harms Häger Basdorf</w:t>
      </w:r>
    </w:p>
    <w:p>
      <w:r>
        <w:t xml:space="preserve">Gerhardt Raum</w:t>
      </w:r>
    </w:p>
    <w:p>
      <w:r>
        <w:rPr>
          <w:color w:val="555555"/>
          <w:sz w:val="17"/>
        </w:rPr>
        <w:t xml:space="preserve">Zitiervorschlag: BGH, Beschluss vom 21.10.2002 – 5 ARs 33/02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https://recht.nulegal.eu/rechtsprechung/bgh/2002-10-21/5-ars-33-02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