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Urteil vom 21.08.2002 – 2 StR 111/02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IM NAMEN DES VOLKES</w:t>
      </w:r>
    </w:p>
    <w:p>
      <w:r>
        <w:t xml:space="preserve">2 StR 111/02</w:t>
      </w:r>
    </w:p>
    <w:p>
      <w:pPr>
        <w:pStyle w:val="Heading2"/>
      </w:pPr>
      <w:r>
        <w:t xml:space="preserve">URTEIL</w:t>
      </w:r>
    </w:p>
    <w:p>
      <w:r>
        <w:t xml:space="preserve">vom</w:t>
      </w:r>
    </w:p>
    <w:p>
      <w:r>
        <w:t xml:space="preserve">21. August 2002</w:t>
      </w:r>
    </w:p>
    <w:p>
      <w:r>
        <w:t xml:space="preserve">in der Strafsache</w:t>
      </w:r>
    </w:p>
    <w:p>
      <w:r>
        <w:t xml:space="preserve">gegen</w:t>
      </w:r>
    </w:p>
    <w:p>
      <w:r>
        <w:t xml:space="preserve">1.</w:t>
      </w:r>
    </w:p>
    <w:p>
      <w:r>
        <w:t xml:space="preserve">2.</w:t>
      </w:r>
    </w:p>
    <w:p>
      <w:r>
        <w:t xml:space="preserve">3.</w:t>
      </w:r>
    </w:p>
    <w:p>
      <w:r>
        <w:t xml:space="preserve">4.</w:t>
      </w:r>
    </w:p>
    <w:p>
      <w:r>
        <w:t xml:space="preserve">wegen schweren Raubes u.a.</w:t>
      </w:r>
    </w:p>
    <w:p>
      <w:r>
        <w:t xml:space="preserve">Der 2. Strafsenat des Bundesgerichtshofs hat in der Sitzung vom 21. August</w:t>
      </w:r>
    </w:p>
    <w:p>
      <w:r>
        <w:t xml:space="preserve">2002, an der teilgenommen haben:</w:t>
      </w:r>
    </w:p>
    <w:p>
      <w:r>
        <w:t xml:space="preserve">Vorsitzende Richterin am Bundesgerichtshof</w:t>
      </w:r>
    </w:p>
    <w:p>
      <w:r>
        <w:t xml:space="preserve">Dr. Rissing-van Saan</w:t>
      </w:r>
    </w:p>
    <w:p>
      <w:r>
        <w:t xml:space="preserve">und die Richterin am Bundesgerichtshof</w:t>
      </w:r>
    </w:p>
    <w:p>
      <w:r>
        <w:t xml:space="preserve">Dr. Otten,</w:t>
      </w:r>
    </w:p>
    <w:p>
      <w:r>
        <w:t xml:space="preserve">die Richter am Bundesgerichtshof</w:t>
      </w:r>
    </w:p>
    <w:p>
      <w:r>
        <w:t xml:space="preserve">Rothfuß,</w:t>
      </w:r>
    </w:p>
    <w:p>
      <w:r>
        <w:t xml:space="preserve">Prof. Dr. Fischer,</w:t>
      </w:r>
    </w:p>
    <w:p>
      <w:r>
        <w:t xml:space="preserve">die Richterin am Bundesgerichtshof</w:t>
      </w:r>
    </w:p>
    <w:p>
      <w:r>
        <w:t xml:space="preserve">Elf,</w:t>
      </w:r>
    </w:p>
    <w:p>
      <w:r>
        <w:t xml:space="preserve">Staatsanwalt</w:t>
      </w:r>
    </w:p>
    <w:p>
      <w:r>
        <w:t xml:space="preserve">als Vertreter der Bundesanwaltschaft,</w:t>
      </w:r>
    </w:p>
    <w:p>
      <w:r>
        <w:t xml:space="preserve">Justizangestellte</w:t>
      </w:r>
    </w:p>
    <w:p>
      <w:r>
        <w:t xml:space="preserve">als Urkundsbeamtin der Geschäftsstelle,</w:t>
      </w:r>
    </w:p>
    <w:p>
      <w:r>
        <w:t xml:space="preserve">für Recht erkannt:</w:t>
      </w:r>
    </w:p>
    <w:p>
      <w:r>
        <w:t xml:space="preserve">Die Revisionen der Staatanwaltschaft und des Angeklagten S.</w:t>
      </w:r>
    </w:p>
    <w:p>
      <w:r>
        <w:t xml:space="preserve">gegen das Urteil des Landgerichts Köln vom 6. November</w:t>
      </w:r>
    </w:p>
    <w:p>
      <w:r>
        <w:t xml:space="preserve">2001 werden als unbegründet verworfen; jedoch wird auf die Re-</w:t>
      </w:r>
    </w:p>
    <w:p>
      <w:r>
        <w:t xml:space="preserve">visionen der Staatsanwaltschaft der Urteilstenor dahin geändert,</w:t>
      </w:r>
    </w:p>
    <w:p>
      <w:r>
        <w:t xml:space="preserve">daß die Angeklagten des schweren Raubes in Tateinheit mit ge-</w:t>
      </w:r>
    </w:p>
    <w:p>
      <w:r>
        <w:t xml:space="preserve">fährlicher Körperverletzung in drei tateinheitlich zusammentref-</w:t>
      </w:r>
    </w:p>
    <w:p>
      <w:r>
        <w:t xml:space="preserve">fenden Fällen schuldig sind.</w:t>
      </w:r>
    </w:p>
    <w:p>
      <w:r>
        <w:t xml:space="preserve">Die Kosten der Revisionen der Staatsanwaltschaft und die durch</w:t>
      </w:r>
    </w:p>
    <w:p>
      <w:r>
        <w:t xml:space="preserve">diese Rechtsmittel entstandenen notwendigen Auslagen der An-</w:t>
      </w:r>
    </w:p>
    <w:p>
      <w:r>
        <w:t xml:space="preserve">geklagten fallen der Staatskasse zur Last.</w:t>
      </w:r>
    </w:p>
    <w:p>
      <w:r>
        <w:t xml:space="preserve">Der Angeklagte S. trägt die Kosten seines Rechtsmittels und</w:t>
      </w:r>
    </w:p>
    <w:p>
      <w:r>
        <w:t xml:space="preserve">die der Nebenklägerin hierdurch entstandenen notwendigen</w:t>
      </w:r>
    </w:p>
    <w:p>
      <w:r>
        <w:t xml:space="preserve">Auslagen.</w:t>
      </w:r>
    </w:p>
    <w:p>
      <w:r>
        <w:t xml:space="preserve">Von Rechts wegen</w:t>
      </w:r>
    </w:p>
    <w:p>
      <w:pPr>
        <w:pStyle w:val="Heading2"/>
      </w:pPr>
      <w:r>
        <w:t xml:space="preserve">Gründe</w:t>
      </w:r>
    </w:p>
    <w:p>
      <w:r>
        <w:t xml:space="preserve">Das Landgericht hat die Angeklagten wegen schweren Raubes in Tat-</w:t>
      </w:r>
    </w:p>
    <w:p>
      <w:r>
        <w:t xml:space="preserve">einheit mit Körperverletzung und gefährlicher Körperverletzung für schuldig</w:t>
      </w:r>
    </w:p>
    <w:p>
      <w:r>
        <w:t xml:space="preserve">befunden und den Angeklagten Z. zu einer Freiheitsstrafe von fünf Jahren</w:t>
      </w:r>
    </w:p>
    <w:p>
      <w:r>
        <w:t xml:space="preserve">und sechs Monaten, den Angeklagten K. zu einer Freiheitsstrafe von fünf</w:t>
      </w:r>
    </w:p>
    <w:p>
      <w:r>
        <w:t xml:space="preserve">Jahren, den Angeklagten S. zu einer Freiheitsstrafe von vier Jahren und</w:t>
      </w:r>
    </w:p>
    <w:p>
      <w:r>
        <w:t xml:space="preserve">den Angeklagten Sa. unter Einbeziehung eines anderen Urteils zu einer</w:t>
      </w:r>
    </w:p>
    <w:p>
      <w:r>
        <w:t xml:space="preserve">Einheitsjugendstrafe von fünf Jahren verurteilt. Dagegen wenden sich die Re-</w:t>
      </w:r>
    </w:p>
    <w:p>
      <w:r>
        <w:t xml:space="preserve">vision des Angeklagten S. mit Verfahrensrügen und der Sachrüge und die</w:t>
      </w:r>
    </w:p>
    <w:p>
      <w:r>
        <w:t xml:space="preserve">zum Nachteil der Angeklagten eingelegten - vom Generalbundesanwalt nicht</w:t>
      </w:r>
    </w:p>
    <w:p>
      <w:r>
        <w:t xml:space="preserve">vertretenen - auf die Sachrüge gestützten Revisionen der Staatsanwaltschaft,</w:t>
      </w:r>
    </w:p>
    <w:p>
      <w:r>
        <w:t xml:space="preserve">mit denen insbesondere die Strafzumessung beanstandet wird.</w:t>
      </w:r>
    </w:p>
    <w:p>
      <w:r>
        <w:t xml:space="preserve">Das Landgericht hat folgendes festgestellt:</w:t>
      </w:r>
    </w:p>
    <w:p>
      <w:r>
        <w:t xml:space="preserve">Nach einem gemeinsamen, im wesentlichen von dem Angeklagten Z.</w:t>
      </w:r>
    </w:p>
    <w:p>
      <w:r>
        <w:t xml:space="preserve">entwickelten Tatplan drangen die Angeklagten, versehen mit zwei ungela-</w:t>
      </w:r>
    </w:p>
    <w:p>
      <w:r>
        <w:t xml:space="preserve">denen Gaspistolen, einem Messer, einer Rohrzange, Kordeln und einem Kabel,</w:t>
      </w:r>
    </w:p>
    <w:p>
      <w:r>
        <w:t xml:space="preserve">am 30. März 2001 nach Geschäftsschluß in einen Großmarkt ein, um das in</w:t>
      </w:r>
    </w:p>
    <w:p>
      <w:r>
        <w:t xml:space="preserve">den Tresoren des Unternehmens verwahrte Geld zu erbeuten. Ein noch im</w:t>
      </w:r>
    </w:p>
    <w:p>
      <w:r>
        <w:t xml:space="preserve">Unternehmen befindlicher Mitarbeiter, der Zeuge H., wurde von dem Ange-</w:t>
      </w:r>
    </w:p>
    <w:p>
      <w:r>
        <w:t xml:space="preserve">klagten Z. mit der Pistole geschlagen und zu Boden gestoßen, eine Mitar-</w:t>
      </w:r>
    </w:p>
    <w:p>
      <w:r>
        <w:t xml:space="preserve">beiterin, die Zeugin M.-Z., zunächst gegen einen Schreibtisch gestoßen und</w:t>
      </w:r>
    </w:p>
    <w:p>
      <w:r>
        <w:t xml:space="preserve">sodann mit Todesdrohungen genötigt, die Tresore zu öffnen. Aus den Tresoren</w:t>
      </w:r>
    </w:p>
    <w:p>
      <w:r>
        <w:t xml:space="preserve">entnahmen die Angeklagten Z. und Sa. sodann Hart- und Schein-</w:t>
      </w:r>
    </w:p>
    <w:p>
      <w:r>
        <w:t xml:space="preserve">geld im Wert von 140.000,-- DM. Der Angeklagte S. hatte währenddessen</w:t>
      </w:r>
    </w:p>
    <w:p>
      <w:r>
        <w:t xml:space="preserve">einen weiteren noch im Verkaufsraum befindlichen Mitarbeiter, den Zeugen</w:t>
      </w:r>
    </w:p>
    <w:p>
      <w:r>
        <w:t xml:space="preserve">Sch., mit der Pistole niedergeschlagen und ihn gemeinsam mit dem Mitange-</w:t>
      </w:r>
    </w:p>
    <w:p>
      <w:r>
        <w:t xml:space="preserve">klagten K. gefesselt. Als die Beute bereits verpackt und die Angeklagten im</w:t>
      </w:r>
    </w:p>
    <w:p>
      <w:r>
        <w:t xml:space="preserve">Begriff waren, das Gebäude zu verlassen, wurde die Nebenklägerin entweder</w:t>
      </w:r>
    </w:p>
    <w:p>
      <w:r>
        <w:t xml:space="preserve">von dem Angeklagten Z. oder K. in das Gesicht getreten oder mit ei-</w:t>
      </w:r>
    </w:p>
    <w:p>
      <w:r>
        <w:t xml:space="preserve">nem festen Gegenstand geschlagen und der gefesselte Zeuge Sch. entweder</w:t>
      </w:r>
    </w:p>
    <w:p>
      <w:r>
        <w:t xml:space="preserve">von dem Angeklagten S. oder Sa. dreimal in die Seite getreten. Da</w:t>
      </w:r>
    </w:p>
    <w:p>
      <w:r>
        <w:t xml:space="preserve">die Kammer insoweit weder einen Täter ermitteln noch einen gemeinsamen</w:t>
      </w:r>
    </w:p>
    <w:p>
      <w:r>
        <w:t xml:space="preserve">Tatplan dahin feststellen konnte, daß die Angeklagten auch Gewaltakte dieser</w:t>
      </w:r>
    </w:p>
    <w:p>
      <w:r>
        <w:t xml:space="preserve">Art - ohne Bezug auf die erstrebte Tatvollendung - billigend in Kauf genommen</w:t>
      </w:r>
    </w:p>
    <w:p>
      <w:r>
        <w:t xml:space="preserve">hatten, sind diese Verletzungshandlungen keinem der Angeklagten zugerech-</w:t>
      </w:r>
    </w:p>
    <w:p>
      <w:r>
        <w:t xml:space="preserve">net worden.</w:t>
      </w:r>
    </w:p>
    <w:p>
      <w:r>
        <w:t xml:space="preserve">Die Revisionen der Staatsanwaltschaft führen zu der aus dem Urteilste-</w:t>
      </w:r>
    </w:p>
    <w:p>
      <w:r>
        <w:t xml:space="preserve">nor ersichtlichen Schuldspruchänderung, im übrigen haben sie ebenso wie die</w:t>
      </w:r>
    </w:p>
    <w:p>
      <w:r>
        <w:t xml:space="preserve">Revision des Angeklagten S. keinen Erfolg.</w:t>
      </w:r>
    </w:p>
    <w:p>
      <w:r>
        <w:t xml:space="preserve">I. Die Revision des Angeklagten S.</w:t>
      </w:r>
    </w:p>
    <w:p>
      <w:r>
        <w:t xml:space="preserve">1. Die Verfahrensrügen greifen nicht durch.</w:t>
      </w:r>
    </w:p>
    <w:p>
      <w:r>
        <w:t xml:space="preserve">Die Revision beanstandet eine Verletzung der §§ 249, 256, 261 StPO,</w:t>
      </w:r>
    </w:p>
    <w:p>
      <w:r>
        <w:t xml:space="preserve">weil entgegen den Ausführungen in den Urteilsgründen ein Arztbericht vom</w:t>
      </w:r>
    </w:p>
    <w:p>
      <w:r>
        <w:t xml:space="preserve">18. Juli 2001 über Verletzungen der Zeugin M.-Z. nicht Gegenstand der Haupt-</w:t>
      </w:r>
    </w:p>
    <w:p>
      <w:r>
        <w:t xml:space="preserve">verhandlung gewesen sei und für die Verlesung zweier weiterer ärztlicher At-</w:t>
      </w:r>
    </w:p>
    <w:p>
      <w:r>
        <w:t xml:space="preserve">teste weder die Voraussetzungen des § 251 StPO noch des § 256 StPO gege-</w:t>
      </w:r>
    </w:p>
    <w:p>
      <w:r>
        <w:t xml:space="preserve">ben seien.</w:t>
      </w:r>
    </w:p>
    <w:p>
      <w:r>
        <w:t xml:space="preserve">Ein Verstoß gegen § 261 StPO ist nicht bewiesen:</w:t>
      </w:r>
    </w:p>
    <w:p>
      <w:r>
        <w:t xml:space="preserve">Nach den Urteilsausführungen ist davon auszugehen, daß der Arztbe-</w:t>
      </w:r>
    </w:p>
    <w:p>
      <w:r>
        <w:t xml:space="preserve">richt vom 18. Juli 2001 jedenfalls im Wege des - nicht protokollierungspflichti-</w:t>
      </w:r>
    </w:p>
    <w:p>
      <w:r>
        <w:t xml:space="preserve">gen - Vorhalts und der Bestätigung seines Inhalts durch die Zeugin in die</w:t>
      </w:r>
    </w:p>
    <w:p>
      <w:r>
        <w:t xml:space="preserve">Hauptverhandlung eingeführt worden ist. Da die Kammer die Zuordnung der</w:t>
      </w:r>
    </w:p>
    <w:p>
      <w:r>
        <w:t xml:space="preserve">(attestierten) Verletzungshandlungen auf die Bekundungen der Zeugin stützt,</w:t>
      </w:r>
    </w:p>
    <w:p>
      <w:r>
        <w:t xml:space="preserve">ist eine Erörterung der Verletzungen mit der Zeugin anhand des Attestes nahe-</w:t>
      </w:r>
    </w:p>
    <w:p>
      <w:r>
        <w:t xml:space="preserve">liegend. Im übrigen betrifft der von der Revision vorgelegte Arztbericht lediglich</w:t>
      </w:r>
    </w:p>
    <w:p>
      <w:r>
        <w:t xml:space="preserve">Kopfverletzungen, die ersichtlich durch die spätere keinem der Angeklagten</w:t>
      </w:r>
    </w:p>
    <w:p>
      <w:r>
        <w:t xml:space="preserve">zugerechneten Exzesshandlung verursacht wurde und auf deren Einzelheiten</w:t>
      </w:r>
    </w:p>
    <w:p>
      <w:r>
        <w:t xml:space="preserve">es nicht ankam.</w:t>
      </w:r>
    </w:p>
    <w:p>
      <w:r>
        <w:t xml:space="preserve">Soweit die Revision die unzulässige Verlesung der ärztlichen Atteste</w:t>
      </w:r>
    </w:p>
    <w:p>
      <w:r>
        <w:t xml:space="preserve">bezüglich der Verletzungen der Zeuge H. und Sch. rügt, kann dahinstehen, ob</w:t>
      </w:r>
    </w:p>
    <w:p>
      <w:r>
        <w:t xml:space="preserve">die Voraussetzungen für eine Verlesung nach § 256 StPO vorgelegen haben.</w:t>
      </w:r>
    </w:p>
    <w:p>
      <w:r>
        <w:t xml:space="preserve">Allerdings ist eine Verlesung eines ärztlichen Attestes nach dieser Vorschrift</w:t>
      </w:r>
    </w:p>
    <w:p>
      <w:r>
        <w:t xml:space="preserve">auch für den Fall tateinheitlichen Zusammentreffens einer (nicht schweren)</w:t>
      </w:r>
    </w:p>
    <w:p>
      <w:r>
        <w:t xml:space="preserve">Körperverletzung mit einem anderen Delikt zulässig, wenn sie ausschließlich</w:t>
      </w:r>
    </w:p>
    <w:p>
      <w:r>
        <w:t xml:space="preserve">zu ihrem Nachweis oder des sie betreffenden Schuldumfangs dient (BGHSt 33,</w:t>
      </w:r>
    </w:p>
    <w:p>
      <w:r>
        <w:t xml:space="preserve">389f, BGHR StPO § 256 Abs. 1 Körperverletzung 1). Jedenfalls ist aber auszu-</w:t>
      </w:r>
    </w:p>
    <w:p>
      <w:r>
        <w:t xml:space="preserve">schließen, daß das Urteil auf einer möglicherweise verfahrensfehlerhaften</w:t>
      </w:r>
    </w:p>
    <w:p>
      <w:r>
        <w:t xml:space="preserve">Verlesung der ärztlichen Atteste beruhen kann. Das Landgericht hat die Fest-</w:t>
      </w:r>
    </w:p>
    <w:p>
      <w:r>
        <w:t xml:space="preserve">stellung, daß die Angeklagten Z. und S. die Zeugen H. und Sch. mit</w:t>
      </w:r>
    </w:p>
    <w:p>
      <w:r>
        <w:t xml:space="preserve">den Pistolen geschlagen und die von den Zeugen dadurch erlittenen Verlet-</w:t>
      </w:r>
    </w:p>
    <w:p>
      <w:r>
        <w:t xml:space="preserve">zungen auf die glaubhaften Bekundungen dieser Zeugen gestützt, die dieses</w:t>
      </w:r>
    </w:p>
    <w:p>
      <w:r>
        <w:t xml:space="preserve">Verhalten der Angeklagten detailliert geschildert haben. Die geständigen An-</w:t>
      </w:r>
    </w:p>
    <w:p>
      <w:r>
        <w:t xml:space="preserve">geklagten haben dies nicht bestritten oder - so der Angeklagte S. - sogar</w:t>
      </w:r>
    </w:p>
    <w:p>
      <w:r>
        <w:t xml:space="preserve">ausdrücklich eingeräumt. Im Rahmen der Zeugenvernehmungen wurden die</w:t>
      </w:r>
    </w:p>
    <w:p>
      <w:r>
        <w:t xml:space="preserve">ärztlichen Atteste laut Sitzungsprotokoll erörtert und die dort attestierten Ver-</w:t>
      </w:r>
    </w:p>
    <w:p>
      <w:r>
        <w:t xml:space="preserve">letzungen - davon ist auszugehen - im Wege des Vorhalts eingeführt. Die</w:t>
      </w:r>
    </w:p>
    <w:p>
      <w:r>
        <w:t xml:space="preserve">Wendung in den Urteilsgründen, daß durch die ärztlichen Atteste die geschil-</w:t>
      </w:r>
    </w:p>
    <w:p>
      <w:r>
        <w:t xml:space="preserve">derten Verletzungen bestätigt wurden, besagt unter diesen Umständen nicht</w:t>
      </w:r>
    </w:p>
    <w:p>
      <w:r>
        <w:t xml:space="preserve">mehr, als daß sie ergänzend - zur Bestätigung der bereits auf Grund anderer</w:t>
      </w:r>
    </w:p>
    <w:p>
      <w:r>
        <w:t xml:space="preserve">Beweismittel gewonnenen sicheren Überzeugung - herangezogen wurden.</w:t>
      </w:r>
    </w:p>
    <w:p>
      <w:r>
        <w:t xml:space="preserve">2. Eine Überprüfung des Urteils auf die Sachrüge deckt keinen Rechts-</w:t>
      </w:r>
    </w:p>
    <w:p>
      <w:r>
        <w:t xml:space="preserve">fehler zum Nachteil des Angeklagten auf. Eine Strafrahmenmilderung nach</w:t>
      </w:r>
    </w:p>
    <w:p>
      <w:r>
        <w:t xml:space="preserve">§§ 21, 49 Abs. 1 StGB hat die Kammer zu Recht verneint. Sie käme im übrigen</w:t>
      </w:r>
    </w:p>
    <w:p>
      <w:r>
        <w:t xml:space="preserve">hier auch schon deshalb nicht</w:t>
      </w:r>
    </w:p>
    <w:p>
      <w:r>
        <w:t xml:space="preserve">in Betracht, weil der Angeklagte den</w:t>
      </w:r>
    </w:p>
    <w:p>
      <w:r>
        <w:t xml:space="preserve">Tatentschluß im voll schuldfähigen Zustand gefaßt und sich lediglich für die</w:t>
      </w:r>
    </w:p>
    <w:p>
      <w:r>
        <w:t xml:space="preserve">Ausführung der Tat "Mut angetrunken" hat. Auch die Voraussetzungen für eine</w:t>
      </w:r>
    </w:p>
    <w:p>
      <w:r>
        <w:t xml:space="preserve">Strafrahmenverschiebung nach § 46a StGB lagen nicht vor. Die Vorschrift des</w:t>
      </w:r>
    </w:p>
    <w:p>
      <w:r>
        <w:t xml:space="preserve">§ 46a Nr. 1 StGB setzt nach ständiger Rechtsprechung und nach der gesetz-</w:t>
      </w:r>
    </w:p>
    <w:p>
      <w:r>
        <w:t xml:space="preserve">geberischen Intention einen kommunikativen Prozeß zwischen Täter und Opfer</w:t>
      </w:r>
    </w:p>
    <w:p>
      <w:r>
        <w:t xml:space="preserve">voraus, der auf einen umfassenden Ausgleich der durch die Straftat verur-</w:t>
      </w:r>
    </w:p>
    <w:p>
      <w:r>
        <w:t xml:space="preserve">sachten Folgen gerichtet sein muß (vgl. BGH, Urt. vom 31. Mai 2002 - 2 StR</w:t>
      </w:r>
    </w:p>
    <w:p>
      <w:r>
        <w:t xml:space="preserve">73/02; vom 31. Mai 2002; BGHR StGB § 46a Wiedergutmachung 1). Dafür ist</w:t>
      </w:r>
    </w:p>
    <w:p>
      <w:r>
        <w:t xml:space="preserve">eine von beiden Seiten akzeptierte, ernsthaft mitgetragene Regelung Voraus-</w:t>
      </w:r>
    </w:p>
    <w:p>
      <w:r>
        <w:t xml:space="preserve">setzung, die hier weder nach den Urteilsgründen noch nach dem Revisions-</w:t>
      </w:r>
    </w:p>
    <w:p>
      <w:r>
        <w:t xml:space="preserve">vortrag vorgelegen hat.</w:t>
      </w:r>
    </w:p>
    <w:p>
      <w:r>
        <w:t xml:space="preserve">II. Die Revisionen der Staatsanwaltschaft</w:t>
      </w:r>
    </w:p>
    <w:p>
      <w:r>
        <w:t xml:space="preserve">Die Überprüfung des Urteils auf die Sachrüge deckt zum Schuldspruch</w:t>
      </w:r>
    </w:p>
    <w:p>
      <w:r>
        <w:t xml:space="preserve">einen Rechtsfehler zum Vorteil der Angeklagten auf: Das Landgericht hat die</w:t>
      </w:r>
    </w:p>
    <w:p>
      <w:r>
        <w:t xml:space="preserve">allen Angeklagten zugerechneten Körperverletzungshandlungen der Ange-</w:t>
      </w:r>
    </w:p>
    <w:p>
      <w:r>
        <w:t xml:space="preserve">klagten Z. und S. , soweit sie die Zeugen H. und Sch. betreffen, als</w:t>
      </w:r>
    </w:p>
    <w:p>
      <w:r>
        <w:t xml:space="preserve">gefährliche Körperverletzung nach § 224 Abs. 1 Ziff. 2 StGB, soweit sie die</w:t>
      </w:r>
    </w:p>
    <w:p>
      <w:r>
        <w:t xml:space="preserve">Zeugin M.-Z. betreffen, als Körperverletzung nach § 223 StGB gewertet. Da die</w:t>
      </w:r>
    </w:p>
    <w:p>
      <w:r>
        <w:t xml:space="preserve">Angeklagten auf Grund eines gemeinsamen Tatplans, der auch den Einsatz</w:t>
      </w:r>
    </w:p>
    <w:p>
      <w:r>
        <w:t xml:space="preserve">einfacher körperlicher Gewalt und der mitgeführten Waffen als Schlagwerkzeu-</w:t>
      </w:r>
    </w:p>
    <w:p>
      <w:r>
        <w:t xml:space="preserve">ge umfaßte, gehandelt haben, sind ihnen diese Körperverletzungshandlungen</w:t>
      </w:r>
    </w:p>
    <w:p>
      <w:r>
        <w:t xml:space="preserve">nicht nur als Mittäter zuzurechnen, sie haben auch in allen drei Fällen eine</w:t>
      </w:r>
    </w:p>
    <w:p>
      <w:r>
        <w:t xml:space="preserve">gefährliche Körperverletzung in der Form der gemeinschaftlichen Tatbegehung</w:t>
      </w:r>
    </w:p>
    <w:p>
      <w:r>
        <w:t xml:space="preserve">(§ 224 Abs. 1 Ziff. 4 StGB) begangen. Dem steht nicht entgegen, daß nicht alle</w:t>
      </w:r>
    </w:p>
    <w:p>
      <w:r>
        <w:t xml:space="preserve">Angeklagten sich eigenhändig an der Mißhandlung der Opfer beteiligt haben.</w:t>
      </w:r>
    </w:p>
    <w:p>
      <w:r>
        <w:t xml:space="preserve">Es reicht aus, daß bei der Verwirklichung des Körperverletzungstatbestands</w:t>
      </w:r>
    </w:p>
    <w:p>
      <w:r>
        <w:t xml:space="preserve">mindestens zwei Täter dem Opfer gegenüberstehen (BGH GA 1986, 229). Da-</w:t>
      </w:r>
    </w:p>
    <w:p>
      <w:r>
        <w:t xml:space="preserve">von ist nach den Feststellungen auszugehen.</w:t>
      </w:r>
    </w:p>
    <w:p>
      <w:r>
        <w:t xml:space="preserve">Der Schuldspruch war entsprechend dem Urteilstenor zu ändern. § 265</w:t>
      </w:r>
    </w:p>
    <w:p>
      <w:r>
        <w:t xml:space="preserve">StPO steht nicht entgegen, weil auf die Tatbestandsalternative des § 224</w:t>
      </w:r>
    </w:p>
    <w:p>
      <w:r>
        <w:t xml:space="preserve">Abs. 1 Nr. 4 StGB bereits in der Anklage hingewiesen worden ist.</w:t>
      </w:r>
    </w:p>
    <w:p>
      <w:r>
        <w:t xml:space="preserve">Es kann jedoch ausgeschlossen werden, daß der Strafausspruch auf</w:t>
      </w:r>
    </w:p>
    <w:p>
      <w:r>
        <w:t xml:space="preserve">diesem Rechtsfehler beruht. Das Landgericht hat den Ausnahmestrafrahmen</w:t>
      </w:r>
    </w:p>
    <w:p>
      <w:r>
        <w:t xml:space="preserve">des § 250 Abs. 3 StGB angewandt. In diesem Zusammenhang hat es auch die</w:t>
      </w:r>
    </w:p>
    <w:p>
      <w:r>
        <w:t xml:space="preserve">Verwirklichung des qualifizierten Körperverletzungstatbestands - ohne Diffe-</w:t>
      </w:r>
    </w:p>
    <w:p>
      <w:r>
        <w:t xml:space="preserve">renzierung etwa hinsichtlich der nur als einfache Körperverletzung gewerteten</w:t>
      </w:r>
    </w:p>
    <w:p>
      <w:r>
        <w:t xml:space="preserve">Handlung gegenüber der Zeugin M.-Z. - gewürdigt und die besondere Gefähr-</w:t>
      </w:r>
    </w:p>
    <w:p>
      <w:r>
        <w:t xml:space="preserve">lichkeit mehrerer Angreifer strafschärfend berücksichtigt. Im übrigen ist die</w:t>
      </w:r>
    </w:p>
    <w:p>
      <w:r>
        <w:t xml:space="preserve">Strafrahmenwahl und die konkrete Strafzumessung nicht zu beanstanden. Ent-</w:t>
      </w:r>
    </w:p>
    <w:p>
      <w:r>
        <w:t xml:space="preserve">scheidend für das Vorliegen eines minder schweren Falls ist nach der Recht-</w:t>
      </w:r>
    </w:p>
    <w:p>
      <w:r>
        <w:t xml:space="preserve">sprechung des Bundesgerichtshofs, ob das gesamte Tatbild einschließlich aller</w:t>
      </w:r>
    </w:p>
    <w:p>
      <w:r>
        <w:t xml:space="preserve">subjektiven Momente und der Täterpersönlichkeit vom Durchschnitt der erfah-</w:t>
      </w:r>
    </w:p>
    <w:p>
      <w:r>
        <w:t xml:space="preserve">rungsgemäß vorkommenden Fälle in einem so erheblichen Maße abweicht,</w:t>
      </w:r>
    </w:p>
    <w:p>
      <w:r>
        <w:t xml:space="preserve">daß die Anwendung des Ausnahmestrafrahmens geboten erscheint. Dem Tat-</w:t>
      </w:r>
    </w:p>
    <w:p>
      <w:r>
        <w:t xml:space="preserve">richter obliegt es, im Rahmen einer Gesamtwürdigung alle maßgeblichen Um-</w:t>
      </w:r>
    </w:p>
    <w:p>
      <w:r>
        <w:t xml:space="preserve">stände, die - sei es, daß sie dem Tatgeschehen vorausgehen, ihm innewoh-</w:t>
      </w:r>
    </w:p>
    <w:p>
      <w:r>
        <w:t xml:space="preserve">nen, es begleiten oder ihm nachfolgen - in objektiver und subjektiver Hinsicht</w:t>
      </w:r>
    </w:p>
    <w:p>
      <w:r>
        <w:t xml:space="preserve">die Tat und die Person des Täters kennzeichnen, nach pflichtgemäßem Er-</w:t>
      </w:r>
    </w:p>
    <w:p>
      <w:r>
        <w:t xml:space="preserve">messen gegeneinander abzuwägen. Das Ergebnis seiner Würdigung ist vom</w:t>
      </w:r>
    </w:p>
    <w:p>
      <w:r>
        <w:t xml:space="preserve">Revisionsgericht nur begrenzt nachprüfbar. Es kann nur dann eingreifen, wenn</w:t>
      </w:r>
    </w:p>
    <w:p>
      <w:r>
        <w:t xml:space="preserve">die Strafzumessungserwägungen in sich fehlerhaft sind, das Tatgericht recht-</w:t>
      </w:r>
    </w:p>
    <w:p>
      <w:r>
        <w:t xml:space="preserve">lich anerkannte Strafzwecke außer Betracht läßt oder sich die Strafe so weit</w:t>
      </w:r>
    </w:p>
    <w:p>
      <w:r>
        <w:t xml:space="preserve">nach oben oder nach unten von ihrer Bestimmung löst, gerechter Schuldaus-</w:t>
      </w:r>
    </w:p>
    <w:p>
      <w:r>
        <w:t xml:space="preserve">gleich zu sein (st. Rspr.; BGHSt 29, 319, 320; BGHR StGB § 250 Abs. 3 Straf-</w:t>
      </w:r>
    </w:p>
    <w:p>
      <w:r>
        <w:t xml:space="preserve">rahmenwahl 1).</w:t>
      </w:r>
    </w:p>
    <w:p>
      <w:r>
        <w:t xml:space="preserve">Ein derartiger Rechtsfehler liegt hier nicht vor. Das Landgericht hat nicht</w:t>
      </w:r>
    </w:p>
    <w:p>
      <w:r>
        <w:t xml:space="preserve">übersehen, daß die Tat detailliert geplant und mit hoher Kriminalität - mehrere</w:t>
      </w:r>
    </w:p>
    <w:p>
      <w:r>
        <w:t xml:space="preserve">Versuche, Maskierung und Bewaffnung - ausgeführt worden ist und bei den</w:t>
      </w:r>
    </w:p>
    <w:p>
      <w:r>
        <w:t xml:space="preserve">Geschädigten zu erheblichen psychischen Folgen geführt hat. Zugunsten der</w:t>
      </w:r>
    </w:p>
    <w:p>
      <w:r>
        <w:t xml:space="preserve">Angeklagten hat die Kammer dem nach ihrem Eindruck aufrichtigen Bedauern</w:t>
      </w:r>
    </w:p>
    <w:p>
      <w:r>
        <w:t xml:space="preserve">der Tat durch die Angeklagten entscheidendes Gewicht beigemessen, die sich</w:t>
      </w:r>
    </w:p>
    <w:p>
      <w:r>
        <w:t xml:space="preserve">in der Hauptverhandlung bei den geschädigten Zeugen entschuldigt haben.</w:t>
      </w:r>
    </w:p>
    <w:p>
      <w:r>
        <w:t xml:space="preserve">Strafmildernd hat es daneben gewertet, daß die Angeklagten noch sehr jung, in</w:t>
      </w:r>
    </w:p>
    <w:p>
      <w:r>
        <w:t xml:space="preserve">gewissem Grade alkoholisch enthemmt (vgl. auch BGH NStZ 1995, 282) und</w:t>
      </w:r>
    </w:p>
    <w:p>
      <w:r>
        <w:t xml:space="preserve">zum Teil zwar strafrechtlich schon in Erscheinung getreten, aber Erstverbüßer</w:t>
      </w:r>
    </w:p>
    <w:p>
      <w:r>
        <w:t xml:space="preserve">sind. Auch das Geständnis der Angeklagten konnte als Milderungsgrund he-</w:t>
      </w:r>
    </w:p>
    <w:p>
      <w:r>
        <w:t xml:space="preserve">rangezogen werden. Dem steht nicht entgegen, daß die Strafkammer nicht klä-</w:t>
      </w:r>
    </w:p>
    <w:p>
      <w:r>
        <w:t xml:space="preserve">ren konnte, wem die Exzeßhandlungen zum Nachteil der Zeugin M.-Z. und des</w:t>
      </w:r>
    </w:p>
    <w:p>
      <w:r>
        <w:t xml:space="preserve">Zeugen Sch. zuzurechnen waren. Daß diese Mißhandlungen den Zeugen den</w:t>
      </w:r>
    </w:p>
    <w:p>
      <w:r>
        <w:t xml:space="preserve">Angeklagten als jedenfalls fahrlässig verschuldete Tatfolgen anzulasten seien</w:t>
      </w:r>
    </w:p>
    <w:p>
      <w:r>
        <w:t xml:space="preserve">- wie die Revision meint - hätte die Vorhersehbarkeit dieser Verletzungshand-</w:t>
      </w:r>
    </w:p>
    <w:p>
      <w:r>
        <w:t xml:space="preserve">lungen vorausgesetzt. Daß sich die Kammer davon bei der ersten gemeinsa-</w:t>
      </w:r>
    </w:p>
    <w:p>
      <w:r>
        <w:t xml:space="preserve">men Straftat der Angeklagten offenbar nicht zu überzeugen vermochte, ist hin-</w:t>
      </w:r>
    </w:p>
    <w:p>
      <w:r>
        <w:t xml:space="preserve">zunehmen. Auszuschließen ist auch, daß die Kammer die Höhe der Tatbeute</w:t>
      </w:r>
    </w:p>
    <w:p>
      <w:r>
        <w:t xml:space="preserve">übersehen hat. Unbedenklich ist in diesem Zusammenhang schließlich auch,</w:t>
      </w:r>
    </w:p>
    <w:p>
      <w:r>
        <w:t xml:space="preserve">daß die geringere Gefährlichkeit der verwandten Waffen in ihrer konkreten An-</w:t>
      </w:r>
    </w:p>
    <w:p>
      <w:r>
        <w:t xml:space="preserve">wendung strafmildernd herangezogen ist, wenn auch diese Tatsache für sich</w:t>
      </w:r>
    </w:p>
    <w:p>
      <w:r>
        <w:t xml:space="preserve">gesehen - wie sich schon aus der gegenüber § 250 Abs. 3 StGB höheren</w:t>
      </w:r>
    </w:p>
    <w:p>
      <w:r>
        <w:t xml:space="preserve">Strafdrohung des § 250 Abs. 1 StGB ergibt - nicht geeignet wäre, einen minder</w:t>
      </w:r>
    </w:p>
    <w:p>
      <w:r>
        <w:t xml:space="preserve">schweren Fall zu begründen.</w:t>
      </w:r>
    </w:p>
    <w:p>
      <w:r>
        <w:t xml:space="preserve">Rissing-van Saan Otten Rothfuß</w:t>
      </w:r>
    </w:p>
    <w:p>
      <w:r>
        <w:t xml:space="preserve">Fischer Elf</w:t>
      </w:r>
    </w:p>
    <w:p>
      <w:r>
        <w:rPr>
          <w:color w:val="555555"/>
          <w:sz w:val="17"/>
        </w:rPr>
        <w:t xml:space="preserve">Zitiervorschlag: BGH, Urteil vom 21.08.2002 – 2 StR 111/02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https://recht.nulegal.eu/rechtsprechung/bgh/2002-08-21/2-str-111-02-2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Urteil vom 21.08.2002 – 2 StR 111/02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