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26.06.2002 – 2 StR 60/02</w:t>
      </w:r>
    </w:p>
    <w:p>
      <w:r>
        <w:rPr>
          <w:color w:val="555555"/>
          <w:sz w:val="18"/>
        </w:rPr>
        <w:t xml:space="preserve">2. Strafsenat</w:t>
      </w:r>
    </w:p>
    <w:p>
      <w:pPr>
        <w:pStyle w:val="Heading2"/>
      </w:pPr>
      <w:r>
        <w:t xml:space="preserve">Leitsatz</w:t>
      </w:r>
    </w:p>
    <w:p>
      <w:r>
        <w:t xml:space="preserve">StPO §§ 338 Nr. 1 Buchst. b, 222 b Abs. 2 Satz 2; GVG §§ 77, 45 Beginnt eine Hauptverhandlung nach begründetem Besetzungseinwand neu, sind die für den Tag des neuen Sitzungsbeginns ausgelosten Schöffen zur Mitwirkung berufen; das gilt auch dann, wenn die neue Hauptverhandlung an einem Tag be- ginnt, der von Anfang an als (Fortsetzungs-)Sitzungstag bestimmt war. In einem sol- chen Fall setzt die Zulässigkeit einer auf § 338 Nr. 1 Buchst. b StPO gestützten Rü- ge nicht stets die namentliche Mitteilung der ordnungsgemäßen Schöffenbesetzung voraus.</w:t>
      </w:r>
    </w:p>
    <w:p>
      <w:r>
        <w:t xml:space="preserve">Nachschlagewerk: ja</w:t>
      </w:r>
    </w:p>
    <w:p>
      <w:r>
        <w:t xml:space="preserve">BGHSt: nein</w:t>
      </w:r>
    </w:p>
    <w:p>
      <w:r>
        <w:t xml:space="preserve">Veröffentlichung: ja</w:t>
      </w:r>
    </w:p>
    <w:p>
      <w:r>
        <w:t xml:space="preserve">StPO §§ 338 Nr. 1 Buchst. b, 222 b Abs. 2 Satz 2; GVG §§ 77, 45</w:t>
      </w:r>
    </w:p>
    <w:p>
      <w:r>
        <w:t xml:space="preserve">Beginnt eine Hauptverhandlung nach begründetem Besetzungseinwand neu, sind</w:t>
      </w:r>
    </w:p>
    <w:p>
      <w:r>
        <w:t xml:space="preserve">die für den Tag des neuen Sitzungsbeginns ausgelosten Schöffen zur Mitwirkung</w:t>
      </w:r>
    </w:p>
    <w:p>
      <w:r>
        <w:t xml:space="preserve">berufen; das gilt auch dann, wenn die neue Hauptverhandlung an einem Tag be-</w:t>
      </w:r>
    </w:p>
    <w:p>
      <w:r>
        <w:t xml:space="preserve">ginnt, der von Anfang an als (Fortsetzungs-)Sitzungstag bestimmt war. In einem sol-</w:t>
      </w:r>
    </w:p>
    <w:p>
      <w:r>
        <w:t xml:space="preserve">chen Fall setzt die Zulässigkeit einer auf § 338 Nr. 1 Buchst. b StPO gestützten Rü-</w:t>
      </w:r>
    </w:p>
    <w:p>
      <w:r>
        <w:t xml:space="preserve">ge nicht stets die namentliche Mitteilung der ordnungsgemäßen Schöffenbesetzung</w:t>
      </w:r>
    </w:p>
    <w:p>
      <w:r>
        <w:t xml:space="preserve">voraus.</w:t>
      </w:r>
    </w:p>
    <w:p>
      <w:r>
        <w:t xml:space="preserve">BGH, Urteil vom 26. Juni 2002 - 2 StR 60/02 - LG Meiningen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2 StR 60/02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26. Juni 2002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Untreue u.a.</w:t>
      </w:r>
    </w:p>
    <w:p>
      <w:r>
        <w:t xml:space="preserve">Der 2. Strafsenat des Bundesgerichtshofs hat in der Sitzung vom 26. Juni</w:t>
      </w:r>
    </w:p>
    <w:p>
      <w:r>
        <w:t xml:space="preserve">2002, an der teilgenommen haben:</w:t>
      </w:r>
    </w:p>
    <w:p>
      <w:r>
        <w:t xml:space="preserve">Vorsitzende Richterin am Bundesgerichtshof</w:t>
      </w:r>
    </w:p>
    <w:p>
      <w:r>
        <w:t xml:space="preserve">Dr. Rissing-van Saan</w:t>
      </w:r>
    </w:p>
    <w:p>
      <w:r>
        <w:t xml:space="preserve">als Vorsitzende,</w:t>
      </w:r>
    </w:p>
    <w:p>
      <w:r>
        <w:t xml:space="preserve">Richter am Bundesgerichtshof</w:t>
      </w:r>
    </w:p>
    <w:p>
      <w:r>
        <w:t xml:space="preserve">Dr. h.c. Detter,</w:t>
      </w:r>
    </w:p>
    <w:p>
      <w:r>
        <w:t xml:space="preserve">Richterin am Bundesgerichtshof</w:t>
      </w:r>
    </w:p>
    <w:p>
      <w:r>
        <w:t xml:space="preserve">Dr. Otten,</w:t>
      </w:r>
    </w:p>
    <w:p>
      <w:r>
        <w:t xml:space="preserve">Richter am Bundesgerichtshof</w:t>
      </w:r>
    </w:p>
    <w:p>
      <w:r>
        <w:t xml:space="preserve">Prof. Dr. Fischer</w:t>
      </w:r>
    </w:p>
    <w:p>
      <w:r>
        <w:t xml:space="preserve">und Richterin am Bundesgerichtshof</w:t>
      </w:r>
    </w:p>
    <w:p>
      <w:r>
        <w:t xml:space="preserve">Elf</w:t>
      </w:r>
    </w:p>
    <w:p>
      <w:r>
        <w:t xml:space="preserve">als beisitzende Richter,</w:t>
      </w:r>
    </w:p>
    <w:p>
      <w:r>
        <w:t xml:space="preserve">Staatsanwalt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als Verteidiger,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Auf die Revision des Angeklagten wird das Urteil des Landge-</w:t>
      </w:r>
    </w:p>
    <w:p>
      <w:r>
        <w:t xml:space="preserve">richts Meiningen vom 12. November 2001 aufgehoben, soweit</w:t>
      </w:r>
    </w:p>
    <w:p>
      <w:r>
        <w:t xml:space="preserve">der Angeklagte verurteilt worden ist.</w:t>
      </w:r>
    </w:p>
    <w:p>
      <w:r>
        <w:t xml:space="preserve">Die Sache wird zu neuer Verhandlung und Entscheidung, auch</w:t>
      </w:r>
    </w:p>
    <w:p>
      <w:r>
        <w:t xml:space="preserve">über die Kosten des Rechtsmittels, an eine andere Strafkammer</w:t>
      </w:r>
    </w:p>
    <w:p>
      <w:r>
        <w:t xml:space="preserve">des Landgerichts zurückverwiesen.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Untreue in vier Fällen und</w:t>
      </w:r>
    </w:p>
    <w:p>
      <w:r>
        <w:t xml:space="preserve">wegen Vorenthaltens von Arbeitsentgelt in 25 Fällen unter Freispruch im übri-</w:t>
      </w:r>
    </w:p>
    <w:p>
      <w:r>
        <w:t xml:space="preserve">gen bzw. Einstellung des Verfahrens zu einer Gesamtfreiheitsstrafe von einem</w:t>
      </w:r>
    </w:p>
    <w:p>
      <w:r>
        <w:t xml:space="preserve">Jahr und drei Monaten verurteilt und die Vollstreckung der Strafe zur Bewäh-</w:t>
      </w:r>
    </w:p>
    <w:p>
      <w:r>
        <w:t xml:space="preserve">rung ausgesetzt.</w:t>
      </w:r>
    </w:p>
    <w:p>
      <w:r>
        <w:t xml:space="preserve">Die gegen die Verurteilung gerichtete Revision des Angeklagten, mit der</w:t>
      </w:r>
    </w:p>
    <w:p>
      <w:r>
        <w:t xml:space="preserve">er die Verletzung formellen und materiellen Rechts rügt, hat mit einer Verfah-</w:t>
      </w:r>
    </w:p>
    <w:p>
      <w:r>
        <w:t xml:space="preserve">rensrüge Erfolg.</w:t>
      </w:r>
    </w:p>
    <w:p>
      <w:r>
        <w:t xml:space="preserve">I.</w:t>
      </w:r>
    </w:p>
    <w:p>
      <w:r>
        <w:t xml:space="preserve">Der Beschwerdeführer beanstandet zu Recht, die Richterbank sei auf</w:t>
      </w:r>
    </w:p>
    <w:p>
      <w:r>
        <w:t xml:space="preserve">Seiten der mitwirkenden Schöffen T. V. und U. H. nicht ord-</w:t>
      </w:r>
    </w:p>
    <w:p>
      <w:r>
        <w:t xml:space="preserve">nungsgemäß besetzt gewesen (§ 338 Nr. 1 b StPO).</w:t>
      </w:r>
    </w:p>
    <w:p>
      <w:r>
        <w:t xml:space="preserve">1. a) Folgendes Verfahrensgeschehen liegt zugrunde: Die Hauptver-</w:t>
      </w:r>
    </w:p>
    <w:p>
      <w:r>
        <w:t xml:space="preserve">handlung war ursprünglich terminiert auf den 17. Oktober 2001 mit Fortset-</w:t>
      </w:r>
    </w:p>
    <w:p>
      <w:r>
        <w:t xml:space="preserve">zungsterminen, darunter auch der Termin vom 24. Oktober 2001. Die Schöffen</w:t>
      </w:r>
    </w:p>
    <w:p>
      <w:r>
        <w:t xml:space="preserve">V. und H. waren die für den 17. Oktober ausgelosten Hauptschöffen.</w:t>
      </w:r>
    </w:p>
    <w:p>
      <w:r>
        <w:t xml:space="preserve">Sie wurden durch die Geschäftsstelle der Strafkammer zum Termin vom</w:t>
      </w:r>
    </w:p>
    <w:p>
      <w:r>
        <w:t xml:space="preserve">17. Oktober 2001 nicht geladen und erschienen zum vorgesehenen Sitzungs-</w:t>
      </w:r>
    </w:p>
    <w:p>
      <w:r>
        <w:t xml:space="preserve">beginn nicht. Die Hauptverhandlung begann verspätet mit dem noch erreichten</w:t>
      </w:r>
    </w:p>
    <w:p>
      <w:r>
        <w:t xml:space="preserve">Hauptschöffen H. und dem Hilfsschöffen A. P. . Nach Vernehmung</w:t>
      </w:r>
    </w:p>
    <w:p>
      <w:r>
        <w:t xml:space="preserve">des Angeklagten zur Person erhob der Verteidiger hinsichtlich des Hilfsschöf-</w:t>
      </w:r>
    </w:p>
    <w:p>
      <w:r>
        <w:t xml:space="preserve">fen den Einwand der vorschriftswidrigen Besetzung. Diesem gab die Kammer</w:t>
      </w:r>
    </w:p>
    <w:p>
      <w:r>
        <w:t xml:space="preserve">statt. Der Vorsitzende ordnete an, mit der Hauptverhandlung solle neu begon-</w:t>
      </w:r>
    </w:p>
    <w:p>
      <w:r>
        <w:t xml:space="preserve">nen werden am 24. Oktober 2001, einem der vorgesehenen Fortsetzungster-</w:t>
      </w:r>
    </w:p>
    <w:p>
      <w:r>
        <w:t xml:space="preserve">mine, in der zuvor mitgeteilten Besetzung mit den Schöffen V. und H. .</w:t>
      </w:r>
    </w:p>
    <w:p>
      <w:r>
        <w:t xml:space="preserve">In der Hauptverhandlung vom 24. Oktober 2001 machte der Verteidiger</w:t>
      </w:r>
    </w:p>
    <w:p>
      <w:r>
        <w:t xml:space="preserve">erneut den Einwand der vorschriftswidrigen Besetzung - nunmehr hinsichtlich</w:t>
      </w:r>
    </w:p>
    <w:p>
      <w:r>
        <w:t xml:space="preserve">beider Schöffen - geltend. Das Landgericht wies den Besetzungseinwand zu-</w:t>
      </w:r>
    </w:p>
    <w:p>
      <w:r>
        <w:t xml:space="preserve">rück. Es vertrat die Auffassung, die für den ursprünglichen Prozeßbeginn aus-</w:t>
      </w:r>
    </w:p>
    <w:p>
      <w:r>
        <w:t xml:space="preserve">gelosten Schöffen seien zuständig geblieben, weil die Hauptverhandlung in der</w:t>
      </w:r>
    </w:p>
    <w:p>
      <w:r>
        <w:t xml:space="preserve">Gerichtsbesetzung noch innerhalb der vorgesehenen Terminstage beginnen</w:t>
      </w:r>
    </w:p>
    <w:p>
      <w:r>
        <w:t xml:space="preserve">konnte.</w:t>
      </w:r>
    </w:p>
    <w:p>
      <w:r>
        <w:t xml:space="preserve">1. b) Der Beschwerdeführer ist der Ansicht, da die Hauptverhandlung</w:t>
      </w:r>
    </w:p>
    <w:p>
      <w:r>
        <w:t xml:space="preserve">- wie nach einer Aussetzung - neu begonnen habe, seien die Hauptschöffen</w:t>
      </w:r>
    </w:p>
    <w:p>
      <w:r>
        <w:t xml:space="preserve">der Schöffenliste für den Sitzungstag 24. Oktober 2001 die zur Mitwirkung be-</w:t>
      </w:r>
    </w:p>
    <w:p>
      <w:r>
        <w:t xml:space="preserve">rufenen Schöffen. Er trägt vor, diese seien nicht identisch mit den Schöffen</w:t>
      </w:r>
    </w:p>
    <w:p>
      <w:r>
        <w:t xml:space="preserve">V. und H. . Letztere seien in der Schöffenliste für den Terminstag</w:t>
      </w:r>
    </w:p>
    <w:p>
      <w:r>
        <w:t xml:space="preserve">24. Oktober 2001 weder als Hauptschöffen noch als Ersatz- oder Hilfsschöffen</w:t>
      </w:r>
    </w:p>
    <w:p>
      <w:r>
        <w:t xml:space="preserve">vorgesehen.</w:t>
      </w:r>
    </w:p>
    <w:p>
      <w:r>
        <w:t xml:space="preserve">2. Die Rüge ist zulässig und begründet.</w:t>
      </w:r>
    </w:p>
    <w:p>
      <w:r>
        <w:t xml:space="preserve">a) Das Revisionsvorbringen genügt unter den vorliegenden Umständen</w:t>
      </w:r>
    </w:p>
    <w:p>
      <w:r>
        <w:t xml:space="preserve">den Begründungserfordernissen des § 344 Abs. 2 Satz 2 StPO.</w:t>
      </w:r>
    </w:p>
    <w:p>
      <w:r>
        <w:t xml:space="preserve">Aus dem Vortrag, die für den 24. Oktober 2001 vorgesehenen Haupt-</w:t>
      </w:r>
    </w:p>
    <w:p>
      <w:r>
        <w:t xml:space="preserve">schöffen seien die zur Mitwirkung berufenen Schöffen, kann entnommen wer-</w:t>
      </w:r>
    </w:p>
    <w:p>
      <w:r>
        <w:t xml:space="preserve">den, daß es sich um einen ordentlichen Sitzungstag der Kammer handelte</w:t>
      </w:r>
    </w:p>
    <w:p>
      <w:r>
        <w:t xml:space="preserve">(§§ 77, 45, 47 GVG), für den - wie die Revision weiter ausführt - die Schöffen</w:t>
      </w:r>
    </w:p>
    <w:p>
      <w:r>
        <w:t xml:space="preserve">V. und H. weder als Hauptschöffen noch als Ersatz- oder Hilfsschöffen</w:t>
      </w:r>
    </w:p>
    <w:p>
      <w:r>
        <w:t xml:space="preserve">in der Schöffenliste bestimmt gewesen seien. Für die behauptete fehlende</w:t>
      </w:r>
    </w:p>
    <w:p>
      <w:r>
        <w:t xml:space="preserve">Identität der herangezogenen Schöffen mit den für den 24. Oktober zuständi-</w:t>
      </w:r>
    </w:p>
    <w:p>
      <w:r>
        <w:t xml:space="preserve">gen Schöffen spricht der Inhalt des Beschlusses, mit dem der Besetzungsein-</w:t>
      </w:r>
    </w:p>
    <w:p>
      <w:r>
        <w:t xml:space="preserve">wand zurückgewiesen wurde. Bei gegebener Personenidentität hätte es der</w:t>
      </w:r>
    </w:p>
    <w:p>
      <w:r>
        <w:t xml:space="preserve">Begründung, daß die für den ursprünglichen Prozeßbeginn am 17. Oktober</w:t>
      </w:r>
    </w:p>
    <w:p>
      <w:r>
        <w:t xml:space="preserve">2001 ausgelosten Schöffen zuständig geblieben seien, nicht bedurft. Es kann</w:t>
      </w:r>
    </w:p>
    <w:p>
      <w:r>
        <w:t xml:space="preserve">dahinstehen, ob die Revision stets die ordnungsgemäße Besetzung namentlich</w:t>
      </w:r>
    </w:p>
    <w:p>
      <w:r>
        <w:t xml:space="preserve">mitteilen muß (vgl. für die Fälle der Hinzuziehung von Hilfsschöffen BGH NJW</w:t>
      </w:r>
    </w:p>
    <w:p>
      <w:r>
        <w:t xml:space="preserve">1991, 50 m.w.N.; BGHSt 36, 138). Bei der vorliegenden besonderen Verfah-</w:t>
      </w:r>
    </w:p>
    <w:p>
      <w:r>
        <w:t xml:space="preserve">renssituation war es nicht geboten, die Schöffen zu benennen, welche bei rich-</w:t>
      </w:r>
    </w:p>
    <w:p>
      <w:r>
        <w:t xml:space="preserve">tiger Gesetzesanwendung am 24. Oktober 2001 zur Mitwirkung berufen waren</w:t>
      </w:r>
    </w:p>
    <w:p>
      <w:r>
        <w:t xml:space="preserve">(vgl. KK-Kuckein StPO, 4. Aufl. § 338 Rdn. 52).</w:t>
      </w:r>
    </w:p>
    <w:p>
      <w:r>
        <w:t xml:space="preserve">b) Zutreffend geht die Revision davon aus, daß mit den für den</w:t>
      </w:r>
    </w:p>
    <w:p>
      <w:r>
        <w:t xml:space="preserve">24. Oktober ausgelosten Schöffen hätte verhandelt werden müssen.</w:t>
      </w:r>
    </w:p>
    <w:p>
      <w:r>
        <w:t xml:space="preserve">Die Auffassung der Kammer, die Zuständigkeit der für den ursprüngli-</w:t>
      </w:r>
    </w:p>
    <w:p>
      <w:r>
        <w:t xml:space="preserve">chen Prozeßbeginn ausgelosten Schöffen ergebe sich daraus, daß die Haup t-</w:t>
      </w:r>
    </w:p>
    <w:p>
      <w:r>
        <w:t xml:space="preserve">verhandlung noch innerhalb der vorgesehenen Terminstage beginnen konnte,</w:t>
      </w:r>
    </w:p>
    <w:p>
      <w:r>
        <w:t xml:space="preserve">ist rechtsfehlerhaft. Schöffen werden nicht für bestimmte Strafverfahren, son-</w:t>
      </w:r>
    </w:p>
    <w:p>
      <w:r>
        <w:t xml:space="preserve">dern für bestimmte Sitzungstage ausgelost. Nur an den für sie ausgelosten or-</w:t>
      </w:r>
    </w:p>
    <w:p>
      <w:r>
        <w:t xml:space="preserve">dentlichen Sitzungstagen sind die Hauptschöffen zur Mitwirkung als Richter</w:t>
      </w:r>
    </w:p>
    <w:p>
      <w:r>
        <w:t xml:space="preserve">berufen (BGHSt 17, 176). Der Vorsitzende ordnete hier nach einem erfolgrei-</w:t>
      </w:r>
    </w:p>
    <w:p>
      <w:r>
        <w:t xml:space="preserve">chen Besetzungseinwand der Verteidigung (§ 222 b Abs. 2 StPO) an, mit der</w:t>
      </w:r>
    </w:p>
    <w:p>
      <w:r>
        <w:t xml:space="preserve">Hauptverhandlung solle erneut begonnen werden. Es kann offenbleiben, ob in</w:t>
      </w:r>
    </w:p>
    <w:p>
      <w:r>
        <w:t xml:space="preserve">einem solchen Fall die Hauptverhandlung auszusetzen</w:t>
      </w:r>
    </w:p>
    <w:p>
      <w:r>
        <w:t xml:space="preserve">ist (vgl. Klein-</w:t>
      </w:r>
    </w:p>
    <w:p>
      <w:r>
        <w:t xml:space="preserve">knecht/Meyer-Goßner, StPO 45. Aufl. § 222 b Rdn. 12) oder ob sie mit Erlaß</w:t>
      </w:r>
    </w:p>
    <w:p>
      <w:r>
        <w:t xml:space="preserve">des Beschlusses nach § 222 b Abs. 2 Satz 2 StPO ohne weiteres beendet wird</w:t>
      </w:r>
    </w:p>
    <w:p>
      <w:r>
        <w:t xml:space="preserve">(vgl. KK-Tolksdorf, 4. Aufl. § 222 b Rdn. 16 m.w.N.), jedenfalls muß mit der</w:t>
      </w:r>
    </w:p>
    <w:p>
      <w:r>
        <w:t xml:space="preserve">Hauptverhandlung neu begonnen werden (vgl. Schlüchter in SK-StPO § 222 b</w:t>
      </w:r>
    </w:p>
    <w:p>
      <w:r>
        <w:t xml:space="preserve">Rdn. 23). Von einem faktischen Neubeginn ist zwar auch das Landgericht aus-</w:t>
      </w:r>
    </w:p>
    <w:p>
      <w:r>
        <w:t xml:space="preserve">gegangen, wie die Anordnung des Vorsitzenden belegt. Eine neue Hauptver-</w:t>
      </w:r>
    </w:p>
    <w:p>
      <w:r>
        <w:t xml:space="preserve">handlung kann aber nur mit den für den Tag des Neubeginns ausgelosten</w:t>
      </w:r>
    </w:p>
    <w:p>
      <w:r>
        <w:t xml:space="preserve">Schöffen erfolgen, das hat das Landgericht verkannt. Die für den Sitzungstag</w:t>
      </w:r>
    </w:p>
    <w:p>
      <w:r>
        <w:t xml:space="preserve">vom 24. Oktober ausgelosten Hauptschöffen waren daher die zur Mitwirkung</w:t>
      </w:r>
    </w:p>
    <w:p>
      <w:r>
        <w:t xml:space="preserve">berufenen Richter. Die Schöffen V. und H. waren nicht die gesetzli-</w:t>
      </w:r>
    </w:p>
    <w:p>
      <w:r>
        <w:t xml:space="preserve">chen Richter. Daher war das Urteil mit den Feststellungen aufzuheben.</w:t>
      </w:r>
    </w:p>
    <w:p>
      <w:r>
        <w:t xml:space="preserve">II.</w:t>
      </w:r>
    </w:p>
    <w:p>
      <w:r>
        <w:t xml:space="preserve">Für die neue Hauptverhandlung weist der Senat hinsichtlich der tatbe-</w:t>
      </w:r>
    </w:p>
    <w:p>
      <w:r>
        <w:t xml:space="preserve">standlichen Anforderungen des § 266 a StGB auf BGH, Beschl. v. 28. Mai 2002</w:t>
      </w:r>
    </w:p>
    <w:p>
      <w:r>
        <w:t xml:space="preserve">- 5 StR 16/02 - hin (zum Abdruck in BGHSt bestimmt).</w:t>
      </w:r>
    </w:p>
    <w:p>
      <w:r>
        <w:t xml:space="preserve">Rissing-van Saan Detter Otten</w:t>
      </w:r>
    </w:p>
    <w:p>
      <w:r>
        <w:t xml:space="preserve">Fischer Elf</w:t>
      </w:r>
    </w:p>
    <w:p>
      <w:r>
        <w:rPr>
          <w:color w:val="555555"/>
          <w:sz w:val="17"/>
        </w:rPr>
        <w:t xml:space="preserve">Zitiervorschlag: BGH, Urteil vom 26.06.2002 – 2 StR 60/02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https://recht.nulegal.eu/rechtsprechung/bgh/2002-06-26/2-str-60-02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26.06.2002 – 2 StR 60/02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