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BGH, Beschluß vom 21.03.2002 – StB 4/02</w:t>
      </w:r>
    </w:p>
    <w:p>
      <w:r>
        <w:rPr>
          <w:color w:val="555555"/>
          <w:sz w:val="18"/>
        </w:rPr>
        <w:t xml:space="preserve">3. Strafsenat</w:t>
      </w:r>
    </w:p>
    <w:p>
      <w:pPr>
        <w:pStyle w:val="Heading2"/>
      </w:pPr>
      <w:r>
        <w:t xml:space="preserve">Leitsatz</w:t>
      </w:r>
    </w:p>
    <w:p>
      <w:r>
        <w:t xml:space="preserve">GVG § 120 Abs. 2 Satz 1 Nr. 3 Zum Merkmal der besonderen Bedeutung bei ausländerfeindlichen Brandan- schlägen (im Anschluß an BGHSt 46, 238 ff.).</w:t>
      </w:r>
    </w:p>
    <w:p>
      <w:r>
        <w:t xml:space="preserve">Nachschlagewerk: ja</w:t>
      </w:r>
    </w:p>
    <w:p>
      <w:r>
        <w:t xml:space="preserve">BGHSt: nein</w:t>
      </w:r>
    </w:p>
    <w:p>
      <w:r>
        <w:t xml:space="preserve">Veröffentlichung: ja</w:t>
      </w:r>
    </w:p>
    <w:p>
      <w:r>
        <w:t xml:space="preserve">__________________</w:t>
      </w:r>
    </w:p>
    <w:p>
      <w:r>
        <w:t xml:space="preserve">GVG § 120 Abs. 2 Satz 1 Nr. 3</w:t>
      </w:r>
    </w:p>
    <w:p>
      <w:r>
        <w:t xml:space="preserve">Zum Merkmal der besonderen Bedeutung bei ausländerfeindlichen Brandan-</w:t>
      </w:r>
    </w:p>
    <w:p>
      <w:r>
        <w:t xml:space="preserve">schlägen (im Anschluß an BGHSt 46, 238 ff.).</w:t>
      </w:r>
    </w:p>
    <w:p>
      <w:r>
        <w:t xml:space="preserve">BGH, Beschluß vom 21. März 2002 - StB 4/02 - OLG Naumburg</w:t>
      </w:r>
    </w:p>
    <w:p>
      <w:r>
        <w:t xml:space="preserve">BUNDESGERICHTSHOF</w:t>
      </w:r>
    </w:p>
    <w:p>
      <w:r>
        <w:t xml:space="preserve">3 StE 2/01 - 4 (2) StB 4/02</w:t>
      </w:r>
    </w:p>
    <w:p>
      <w:pPr>
        <w:pStyle w:val="Heading2"/>
      </w:pPr>
      <w:r>
        <w:t xml:space="preserve">BESCHLUSS</w:t>
      </w:r>
    </w:p>
    <w:p>
      <w:r>
        <w:t xml:space="preserve">vom</w:t>
      </w:r>
    </w:p>
    <w:p>
      <w:r>
        <w:t xml:space="preserve">21. März 2002</w:t>
      </w:r>
    </w:p>
    <w:p>
      <w:r>
        <w:t xml:space="preserve">in dem Strafverfahren</w:t>
      </w:r>
    </w:p>
    <w:p>
      <w:r>
        <w:t xml:space="preserve">gegen</w:t>
      </w:r>
    </w:p>
    <w:p>
      <w:r>
        <w:t xml:space="preserve">1.</w:t>
      </w:r>
    </w:p>
    <w:p>
      <w:r>
        <w:t xml:space="preserve">2.</w:t>
      </w:r>
    </w:p>
    <w:p>
      <w:r>
        <w:t xml:space="preserve">3.</w:t>
      </w:r>
    </w:p>
    <w:p>
      <w:r>
        <w:t xml:space="preserve">4.</w:t>
      </w:r>
    </w:p>
    <w:p>
      <w:r>
        <w:t xml:space="preserve">5.</w:t>
      </w:r>
    </w:p>
    <w:p>
      <w:r>
        <w:t xml:space="preserve">wegen versuchten Mordes u.a.</w:t>
      </w:r>
    </w:p>
    <w:p>
      <w:r>
        <w:t xml:space="preserve">Der 3. Strafsenat des Bundesgerichtshofs hat nach Anhörung der Angeklagten</w:t>
      </w:r>
    </w:p>
    <w:p>
      <w:r>
        <w:t xml:space="preserve">am 21. März 2002 beschlossen:</w:t>
      </w:r>
    </w:p>
    <w:p>
      <w:r>
        <w:t xml:space="preserve">Die sofortige Beschwerde des Generalbundesanwalts gegen den</w:t>
      </w:r>
    </w:p>
    <w:p>
      <w:r>
        <w:t xml:space="preserve">Beschluß des Oberlandesgerichts Naumburg vom 1. Februar</w:t>
      </w:r>
    </w:p>
    <w:p>
      <w:r>
        <w:t xml:space="preserve">2002 wird verworfen.</w:t>
      </w:r>
    </w:p>
    <w:p>
      <w:r>
        <w:t xml:space="preserve">Die Kosten des Rechtsmittels und die den Angeklagten im Be-</w:t>
      </w:r>
    </w:p>
    <w:p>
      <w:r>
        <w:t xml:space="preserve">schwerdeverfahren entstandenen notwendigen Auslagen hat die</w:t>
      </w:r>
    </w:p>
    <w:p>
      <w:r>
        <w:t xml:space="preserve">Staatskasse zu tragen.</w:t>
      </w:r>
    </w:p>
    <w:p>
      <w:pPr>
        <w:pStyle w:val="Heading2"/>
      </w:pPr>
      <w:r>
        <w:t xml:space="preserve">Gründe</w:t>
      </w:r>
    </w:p>
    <w:p>
      <w:r>
        <w:t xml:space="preserve">Der Generalbundesanwalt hat in dem von ihm geführten Ermittlungs-</w:t>
      </w:r>
    </w:p>
    <w:p>
      <w:r>
        <w:t xml:space="preserve">verfahren unter dem 19. Dezember 2001 Anklage zum Oberlandesgericht</w:t>
      </w:r>
    </w:p>
    <w:p>
      <w:r>
        <w:t xml:space="preserve">Naumburg erhoben. Mit ihr wird den Angeklagten achtfacher Mordversuch in</w:t>
      </w:r>
    </w:p>
    <w:p>
      <w:r>
        <w:t xml:space="preserve">Tateinheit mit Brandstiftung, mit versuchter besonders schwerer Brandstiftung</w:t>
      </w:r>
    </w:p>
    <w:p>
      <w:r>
        <w:t xml:space="preserve">und mit der Herstellung von Wurfkörpern aufgrund folgenden Sachverhaltes</w:t>
      </w:r>
    </w:p>
    <w:p>
      <w:r>
        <w:t xml:space="preserve">zur Last gelegt:</w:t>
      </w:r>
    </w:p>
    <w:p>
      <w:r>
        <w:t xml:space="preserve">Am 29. Juni 2001 gegen Mitternacht kamen die Angeklagten überein,</w:t>
      </w:r>
    </w:p>
    <w:p>
      <w:r>
        <w:t xml:space="preserve">ein von vietnamesischen Staatsangehörigen geführtes Textilgeschäft, das</w:t>
      </w:r>
    </w:p>
    <w:p>
      <w:r>
        <w:t xml:space="preserve">"Asia-Haus" in J. , mit Molotow-Cocktails anzugreifen, um so ihrem Aus-</w:t>
      </w:r>
    </w:p>
    <w:p>
      <w:r>
        <w:t xml:space="preserve">länderhaß Ausdruck zu verleihen und ein Fanal für die Bereitschaft zur Gewalt</w:t>
      </w:r>
    </w:p>
    <w:p>
      <w:r>
        <w:t xml:space="preserve">gegen Ausländer zu setzen. Der Anschlag war von einem Teil der Beteiligten</w:t>
      </w:r>
    </w:p>
    <w:p>
      <w:r>
        <w:t xml:space="preserve">schon längere Zeit ins Auge gefaßt worden. Die Angeklagten fertigten gemein-</w:t>
      </w:r>
    </w:p>
    <w:p>
      <w:r>
        <w:t xml:space="preserve">sam aus mit Benzin befüllten und einer Lunte versehenen Bierflaschen Wurf-</w:t>
      </w:r>
    </w:p>
    <w:p>
      <w:r>
        <w:t xml:space="preserve">körper. Sie hielten es für möglich, daß in den Räumlichkeiten über dem Laden-</w:t>
      </w:r>
    </w:p>
    <w:p>
      <w:r>
        <w:t xml:space="preserve">geschäft Menschen schliefen und nahmen deren möglichen Tod als Folge des</w:t>
      </w:r>
    </w:p>
    <w:p>
      <w:r>
        <w:t xml:space="preserve">Brandanschlags billigend in Kauf. Die Angeklagten D. und M. schlugen</w:t>
      </w:r>
    </w:p>
    <w:p>
      <w:r>
        <w:t xml:space="preserve">zwei Schaufensterscheiben ein und warfen zwei zuvor entzündete Brandsätze</w:t>
      </w:r>
    </w:p>
    <w:p>
      <w:r>
        <w:t xml:space="preserve">durch die Öffnungen. Das Feuer erfaßte Kleidungsstücke auf den Kleiderstän-</w:t>
      </w:r>
    </w:p>
    <w:p>
      <w:r>
        <w:t xml:space="preserve">dern und setzte den Teppichboden in Brand. Da Bewohner durch das Ein-</w:t>
      </w:r>
    </w:p>
    <w:p>
      <w:r>
        <w:t xml:space="preserve">schlagen der Scheiben sogleich wach geworden waren, gelang es, den Brand</w:t>
      </w:r>
    </w:p>
    <w:p>
      <w:r>
        <w:t xml:space="preserve">noch vor dem Eintreffen der Feuerwehr zu löschen und die Bewohner, darunter</w:t>
      </w:r>
    </w:p>
    <w:p>
      <w:r>
        <w:t xml:space="preserve">zwei Kinder, unverletzt zu evakuieren. Der entstandene Sachschaden beträgt</w:t>
      </w:r>
    </w:p>
    <w:p>
      <w:r>
        <w:t xml:space="preserve">50.000 DM.</w:t>
      </w:r>
    </w:p>
    <w:p>
      <w:r>
        <w:t xml:space="preserve">Das Oberlandesgericht Naumburg hat mit Beschluß vom 1. Februar</w:t>
      </w:r>
    </w:p>
    <w:p>
      <w:r>
        <w:t xml:space="preserve">2002 die Anklage zur Hauptverhandlung zugelassen, jedoch das Hauptverfah-</w:t>
      </w:r>
    </w:p>
    <w:p>
      <w:r>
        <w:t xml:space="preserve">ren vor dem Landgericht - Jugendkammer - Dessau eröffnet, weil dem Fall kei-</w:t>
      </w:r>
    </w:p>
    <w:p>
      <w:r>
        <w:t xml:space="preserve">ne besondere Bedeutung im Sinne des § 120 Abs. 2 Satz 1 Nr. 3 Buchst. a</w:t>
      </w:r>
    </w:p>
    <w:p>
      <w:r>
        <w:t xml:space="preserve">GVG zukomme. Hiergegen richtet sich die sofortige Beschwerde des General-</w:t>
      </w:r>
    </w:p>
    <w:p>
      <w:r>
        <w:t xml:space="preserve">bundesanwalts.</w:t>
      </w:r>
    </w:p>
    <w:p>
      <w:r>
        <w:t xml:space="preserve">Das Rechtsmittel ist unbegründet. Das Oberlandesgericht hat zu Recht</w:t>
      </w:r>
    </w:p>
    <w:p>
      <w:r>
        <w:t xml:space="preserve">seine Zuständigkeit für die Durchführung des gerichtlichen Verfahrens verneint.</w:t>
      </w:r>
    </w:p>
    <w:p>
      <w:r>
        <w:t xml:space="preserve">1. Allerdings ist die Tat im Sinne von § 120 Abs. 2 Satz 1 Nr. 3 Buchst. a</w:t>
      </w:r>
    </w:p>
    <w:p>
      <w:r>
        <w:t xml:space="preserve">GVG bestimmt und geeignet, die innere Sicherheit der Bundesrepublik</w:t>
      </w:r>
    </w:p>
    <w:p>
      <w:r>
        <w:t xml:space="preserve">Deutschland zu beeinträchtigen. Dies ist nach der grundlegenden Entschei-</w:t>
      </w:r>
    </w:p>
    <w:p>
      <w:r>
        <w:t xml:space="preserve">dung des Senats vom 22. Dezember 2000 (NJW 2001, 1354 = BGHSt 46,</w:t>
      </w:r>
    </w:p>
    <w:p>
      <w:r>
        <w:t xml:space="preserve">238 ff.) der Fall, wenn das innere Gefüge des Gesamtstaates oder dessen</w:t>
      </w:r>
    </w:p>
    <w:p>
      <w:r>
        <w:t xml:space="preserve">Verfassungsgrundsätze betroffen sind. Zu letzteren zählt der Ausschluß jegli-</w:t>
      </w:r>
    </w:p>
    <w:p>
      <w:r>
        <w:t xml:space="preserve">cher Gewalt- und Willkürherrschaft gegenüber Minderheiten. Dieser Grundsatz</w:t>
      </w:r>
    </w:p>
    <w:p>
      <w:r>
        <w:t xml:space="preserve">wird beeinträchtigt, wenn der Täter das Opfer nur deshalb angreift, weil er es</w:t>
      </w:r>
    </w:p>
    <w:p>
      <w:r>
        <w:t xml:space="preserve">als Mitglied einer nationalen, rassischen, religiösen oder durch ihr Volkstum</w:t>
      </w:r>
    </w:p>
    <w:p>
      <w:r>
        <w:t xml:space="preserve">bestimmten Gruppe treffen will.</w:t>
      </w:r>
    </w:p>
    <w:p>
      <w:r>
        <w:t xml:space="preserve">Diese Voraussetzung ist hier erfüllt. Wie der Generalbundesanwalt in</w:t>
      </w:r>
    </w:p>
    <w:p>
      <w:r>
        <w:t xml:space="preserve">seiner Anklageschrift (S. 42) dargelegt und in der Beschwerdebegründung vom</w:t>
      </w:r>
    </w:p>
    <w:p>
      <w:r>
        <w:t xml:space="preserve">5. Februar 2002 verdeutlicht hat, setzten die Angeklagten das Wohn- und Ge-</w:t>
      </w:r>
    </w:p>
    <w:p>
      <w:r>
        <w:t xml:space="preserve">schäftshaus ausschließlich aus einer ausländerfeindlichen und rechtsextremen</w:t>
      </w:r>
    </w:p>
    <w:p>
      <w:r>
        <w:t xml:space="preserve">Zielsetzung heraus in Brand, damit J. "ausländerfrei" werde, wobei "man</w:t>
      </w:r>
    </w:p>
    <w:p>
      <w:r>
        <w:t xml:space="preserve">gegen die Bewohner persönlich nichts gehabt habe". Davon geht auch das</w:t>
      </w:r>
    </w:p>
    <w:p>
      <w:r>
        <w:t xml:space="preserve">Oberlandesgericht aus.</w:t>
      </w:r>
    </w:p>
    <w:p>
      <w:r>
        <w:t xml:space="preserve">2. Indes kommt dem Fall keine besondere Bedeutung im Sinne des</w:t>
      </w:r>
    </w:p>
    <w:p>
      <w:r>
        <w:t xml:space="preserve">§ 120 Abs. 2 Satz 1 Nr. 3 GVG zu.</w:t>
      </w:r>
    </w:p>
    <w:p>
      <w:r>
        <w:t xml:space="preserve">a) Der Senat hat dazu in seiner Grundsatzentscheidung ausgeführt, daß</w:t>
      </w:r>
    </w:p>
    <w:p>
      <w:r>
        <w:t xml:space="preserve">dieses Merkmal zusätzlich zu der in Buchst. a dieser Vorschrift genannten Vor-</w:t>
      </w:r>
    </w:p>
    <w:p>
      <w:r>
        <w:t xml:space="preserve">aussetzung gegeben sein muß. Es muß sich danach unter Beachtung des</w:t>
      </w:r>
    </w:p>
    <w:p>
      <w:r>
        <w:t xml:space="preserve">Ausmaßes der Verletzung der individuellen Rechtsgüter der durch die Tat kon-</w:t>
      </w:r>
    </w:p>
    <w:p>
      <w:r>
        <w:t xml:space="preserve">kret Geschädigten um ein staatsgefährdendes Delikt von erheblichem Gewicht</w:t>
      </w:r>
    </w:p>
    <w:p>
      <w:r>
        <w:t xml:space="preserve">handeln, das seine besondere Bedeutung dadurch gewinnt, daß es die dem</w:t>
      </w:r>
    </w:p>
    <w:p>
      <w:r>
        <w:t xml:space="preserve">§ 120 Abs. 2 Satz 1 Nr. 3 GVG zugrunde liegenden Schutzgüter des Gesamt-</w:t>
      </w:r>
    </w:p>
    <w:p>
      <w:r>
        <w:t xml:space="preserve">staates in einer derart spezifischen Weise angreift, daß ein Einschreiten des</w:t>
      </w:r>
    </w:p>
    <w:p>
      <w:r>
        <w:t xml:space="preserve">Generalbundesanwalts und eine Aburteilung durch ein Bundesgerichtsbarkeit</w:t>
      </w:r>
    </w:p>
    <w:p>
      <w:r>
        <w:t xml:space="preserve">ausübendes Gericht geboten ist. Dabei erfordert die Beurteilung des Falles</w:t>
      </w:r>
    </w:p>
    <w:p>
      <w:r>
        <w:t xml:space="preserve">eine Gesamtwürdigung der Umstände und Auswirkungen der Tat unter beson-</w:t>
      </w:r>
    </w:p>
    <w:p>
      <w:r>
        <w:t xml:space="preserve">derer Berücksichtigung des Gewichts ihres Angriffs auf das jeweils betroffene</w:t>
      </w:r>
    </w:p>
    <w:p>
      <w:r>
        <w:t xml:space="preserve">Rechtsgut des Gesamtstaates (BGH NJW 2001, 1359, 1363). Aus diesen</w:t>
      </w:r>
    </w:p>
    <w:p>
      <w:r>
        <w:t xml:space="preserve">Grundsätzen läßt sich folgendes ableiten:</w:t>
      </w:r>
    </w:p>
    <w:p>
      <w:r>
        <w:t xml:space="preserve">aa) Da die Verfolgung der in § 120 Abs. 2 Satz 1 Nr. 3 GVG genannten</w:t>
      </w:r>
    </w:p>
    <w:p>
      <w:r>
        <w:t xml:space="preserve">Katalogtaten selbst dann in die grundsätzliche Verfolgungskompetenz der</w:t>
      </w:r>
    </w:p>
    <w:p>
      <w:r>
        <w:t xml:space="preserve">Bundesländer fällt, wenn die weitere Voraussetzung des Buchst. a dieser Vor-</w:t>
      </w:r>
    </w:p>
    <w:p>
      <w:r>
        <w:t xml:space="preserve">schrift erfüllt ist, wonach die Tat bestimmt und geeignet sein muß, die innere</w:t>
      </w:r>
    </w:p>
    <w:p>
      <w:r>
        <w:t xml:space="preserve">Sicherheit der Bundesrepublik Deutschland zu beeinträchtigen, kann von einer</w:t>
      </w:r>
    </w:p>
    <w:p>
      <w:r>
        <w:t xml:space="preserve">besonderen Bedeutung nur gesprochen werden, wenn der in Frage stehende</w:t>
      </w:r>
    </w:p>
    <w:p>
      <w:r>
        <w:t xml:space="preserve">Fall deutlich aus den Durchschnittsfällen herausragt (vgl. Welp NStZ 2002, 1,</w:t>
      </w:r>
    </w:p>
    <w:p>
      <w:r>
        <w:t xml:space="preserve">7). Die Beurteilung hat sich an den von § 120 Abs. 2 Satz 1 Nr. 3 GVG erfaßten</w:t>
      </w:r>
    </w:p>
    <w:p>
      <w:r>
        <w:t xml:space="preserve">Fällen zu orientieren, so daß etwa selbst die Begehung eines Mordes mit aus-</w:t>
      </w:r>
    </w:p>
    <w:p>
      <w:r>
        <w:t xml:space="preserve">länderfeindlicher Zielrichtung für sich allein noch nicht ohne weiteres die An-</w:t>
      </w:r>
    </w:p>
    <w:p>
      <w:r>
        <w:t xml:space="preserve">nahme einer besonderen Bedeutung begründen kann; denn diese Umstände</w:t>
      </w:r>
    </w:p>
    <w:p>
      <w:r>
        <w:t xml:space="preserve">müssen für die Anwendung des § 120 Abs. 2 Satz 1 Nr. 3 GVG schon gegeben</w:t>
      </w:r>
    </w:p>
    <w:p>
      <w:r>
        <w:t xml:space="preserve">sein, bevor in die Prüfung der besonderen Bedeutung eingetreten werden</w:t>
      </w:r>
    </w:p>
    <w:p>
      <w:r>
        <w:t xml:space="preserve">kann.</w:t>
      </w:r>
    </w:p>
    <w:p>
      <w:r>
        <w:t xml:space="preserve">bb) Bei der Anwendung im einzelnen liegt ein maßgebliches Beurtei-</w:t>
      </w:r>
    </w:p>
    <w:p>
      <w:r>
        <w:t xml:space="preserve">lungskriterium zunächst in der den Schuld- und Unrechtsgehalt bestimmenden</w:t>
      </w:r>
    </w:p>
    <w:p>
      <w:r>
        <w:t xml:space="preserve">Schwere der Tat (ebenso Welp aaO). Neben den konkreten Folgen für die in-</w:t>
      </w:r>
    </w:p>
    <w:p>
      <w:r>
        <w:t xml:space="preserve">dividuell geschädigten Opfer kommt es dabei insbesondere auf die Auswirkun-</w:t>
      </w:r>
    </w:p>
    <w:p>
      <w:r>
        <w:t xml:space="preserve">gen der Tat für die innere Sicherheit an. Namentlich kann dabei zu berücksich-</w:t>
      </w:r>
    </w:p>
    <w:p>
      <w:r>
        <w:t xml:space="preserve">tigen sein:</w:t>
      </w:r>
    </w:p>
    <w:p>
      <w:r>
        <w:t xml:space="preserve">- die von der Tat ausgehende Signalwirkung für Nachahmungstäter;</w:t>
      </w:r>
    </w:p>
    <w:p>
      <w:r>
        <w:t xml:space="preserve">- negative Auswirkungen auf das Erscheinungsbild der Bundesrepublik</w:t>
      </w:r>
    </w:p>
    <w:p>
      <w:r>
        <w:t xml:space="preserve">Deutschland, insbesondere auf außen- und wirtschaftspolitische Belange des</w:t>
      </w:r>
    </w:p>
    <w:p>
      <w:r>
        <w:t xml:space="preserve">Staates;</w:t>
      </w:r>
    </w:p>
    <w:p>
      <w:r>
        <w:t xml:space="preserve">- die Beeinträchtigung des Sicherheitsgefühls der im Inland lebenden Auslän-</w:t>
      </w:r>
    </w:p>
    <w:p>
      <w:r>
        <w:t xml:space="preserve">der, die einen sicheren Aufenthalt in der Bundesrepublik Deutschland gefähr-</w:t>
      </w:r>
    </w:p>
    <w:p>
      <w:r>
        <w:t xml:space="preserve">det sehen.</w:t>
      </w:r>
    </w:p>
    <w:p>
      <w:r>
        <w:t xml:space="preserve">Die genannten Faktoren können sich gegenseitig beeinflussen. So wird</w:t>
      </w:r>
    </w:p>
    <w:p>
      <w:r>
        <w:t xml:space="preserve">eine besonders schwere Tat mit zahlreichen Opfern auch ein verstärktes</w:t>
      </w:r>
    </w:p>
    <w:p>
      <w:r>
        <w:t xml:space="preserve">öffentliches Aufsehen erregen und auf diese Weise die innere Sicherheit in</w:t>
      </w:r>
    </w:p>
    <w:p>
      <w:r>
        <w:t xml:space="preserve">besonderer Weise berühren.</w:t>
      </w:r>
    </w:p>
    <w:p>
      <w:r>
        <w:t xml:space="preserve">Als Umstände der Tat, die für die Annahme einer besonderen Bedeu-</w:t>
      </w:r>
    </w:p>
    <w:p>
      <w:r>
        <w:t xml:space="preserve">tung herangezogen werden können, kommen etwa eine konspirative Arbeits-</w:t>
      </w:r>
    </w:p>
    <w:p>
      <w:r>
        <w:t xml:space="preserve">weise, überregionale Aktivitäten und vereinigungsähnliche Strukturen von Tä-</w:t>
      </w:r>
    </w:p>
    <w:p>
      <w:r>
        <w:t xml:space="preserve">tergruppen in Betracht, da sie die Gefährlichkeit für die innere Sicherheit erhö-</w:t>
      </w:r>
    </w:p>
    <w:p>
      <w:r>
        <w:t xml:space="preserve">hen und ihnen mit den in der überregionalen Ermittlung derartiger Täterstruktu-</w:t>
      </w:r>
    </w:p>
    <w:p>
      <w:r>
        <w:t xml:space="preserve">ren erfahrenen Ermittlungsbehörden des Bundes besser begegnet werden</w:t>
      </w:r>
    </w:p>
    <w:p>
      <w:r>
        <w:t xml:space="preserve">kann.</w:t>
      </w:r>
    </w:p>
    <w:p>
      <w:r>
        <w:t xml:space="preserve">b) Gemessen an diesen Kriterien hat hier das Oberlandesgericht bei ei-</w:t>
      </w:r>
    </w:p>
    <w:p>
      <w:r>
        <w:t xml:space="preserve">ner Gesamtwürdigung der maßgeblichen Umstände zu Recht eine besondere</w:t>
      </w:r>
    </w:p>
    <w:p>
      <w:r>
        <w:t xml:space="preserve">Bedeutung des Falles verneint.</w:t>
      </w:r>
    </w:p>
    <w:p>
      <w:r>
        <w:t xml:space="preserve">Die konkreten Folgen der Tat sind vergleichsweise gering. Personen-</w:t>
      </w:r>
    </w:p>
    <w:p>
      <w:r>
        <w:t xml:space="preserve">schäden sind nicht eingetreten, auch der Sachschaden von 50.000 DM ist in</w:t>
      </w:r>
    </w:p>
    <w:p>
      <w:r>
        <w:t xml:space="preserve">Anbetracht eines derartigen Brandanschlags als eher niedrig zu bewerten. Die</w:t>
      </w:r>
    </w:p>
    <w:p>
      <w:r>
        <w:t xml:space="preserve">Katalogtaten des Mordes und der besonders schweren Brandstiftung sind im</w:t>
      </w:r>
    </w:p>
    <w:p>
      <w:r>
        <w:t xml:space="preserve">Versuch steckengeblieben. Dem steht allerdings die hohe konkrete Gefahr für</w:t>
      </w:r>
    </w:p>
    <w:p>
      <w:r>
        <w:t xml:space="preserve">die Bewohner des Hauses gegenüber; diese sind aber aufgrund glücklicher</w:t>
      </w:r>
    </w:p>
    <w:p>
      <w:r>
        <w:t xml:space="preserve">Umstände unverletzt evakuiert worden.</w:t>
      </w:r>
    </w:p>
    <w:p>
      <w:r>
        <w:t xml:space="preserve">Dementsprechend ist auch das öffentliche Aufsehen des Falles gering</w:t>
      </w:r>
    </w:p>
    <w:p>
      <w:r>
        <w:t xml:space="preserve">geblieben, wie der Senat aus den Beobachtungen der überregionalen Presse</w:t>
      </w:r>
    </w:p>
    <w:p>
      <w:r>
        <w:t xml:space="preserve">weiß und das Oberlandesgericht aus eigener Kenntnis der regionalen Presse</w:t>
      </w:r>
    </w:p>
    <w:p>
      <w:r>
        <w:t xml:space="preserve">und Medien feststellen konnte. Daher sind konkrete Auswirkungen dieses Fal-</w:t>
      </w:r>
    </w:p>
    <w:p>
      <w:r>
        <w:t xml:space="preserve">les auf das Ansehen Deutschlands im Ausland nicht feststellbar. Auch für po-</w:t>
      </w:r>
    </w:p>
    <w:p>
      <w:r>
        <w:t xml:space="preserve">tentielle Nachahmungstäter wird von einer solchen Tat mit geringen Folgen</w:t>
      </w:r>
    </w:p>
    <w:p>
      <w:r>
        <w:t xml:space="preserve">und ohne nachhaltiges Echo in den Medien allenfalls ein schwacher Anreiz für</w:t>
      </w:r>
    </w:p>
    <w:p>
      <w:r>
        <w:t xml:space="preserve">Folgetaten ausgehen. Entsprechendes gilt für die Beeinträchtigung des Si-</w:t>
      </w:r>
    </w:p>
    <w:p>
      <w:r>
        <w:t xml:space="preserve">cherheitsgefühls der ausländischen Mitbürger, die hier eher nur im regionalen</w:t>
      </w:r>
    </w:p>
    <w:p>
      <w:r>
        <w:t xml:space="preserve">Umkreis beunruhigt worden sein dürften.</w:t>
      </w:r>
    </w:p>
    <w:p>
      <w:r>
        <w:t xml:space="preserve">Allerdings zeigt die Gruppierung, aus der heraus der Anschlag erfolgte,</w:t>
      </w:r>
    </w:p>
    <w:p>
      <w:r>
        <w:t xml:space="preserve">eine sehr deutliche ausländerfeindliche Zielrichtung, die der Generalbun-</w:t>
      </w:r>
    </w:p>
    <w:p>
      <w:r>
        <w:t xml:space="preserve">desanwalt in seiner Beschwerdebegründung nicht zu Unrecht als "exempla-</w:t>
      </w:r>
    </w:p>
    <w:p>
      <w:r>
        <w:t xml:space="preserve">risch" bezeichnet hat. Darüber hinaus war ein Teil der Täter in eine sich bil-</w:t>
      </w:r>
    </w:p>
    <w:p>
      <w:r>
        <w:t xml:space="preserve">dende rechtsextreme Gruppierung, die sich "Nationaler Widerstand Kreis Bit-</w:t>
      </w:r>
    </w:p>
    <w:p>
      <w:r>
        <w:t xml:space="preserve">terfeld" nennt, eingebunden. Jedoch konnte bislang weder festgestellt werden,</w:t>
      </w:r>
    </w:p>
    <w:p>
      <w:r>
        <w:t xml:space="preserve">daß diese Gruppe - abgesehen von Flugblättern mit rechtsextremen Parolen -</w:t>
      </w:r>
    </w:p>
    <w:p>
      <w:r>
        <w:t xml:space="preserve">bereits vorher mit Straftaten in Erscheinung getreten war, noch daß der Brand-</w:t>
      </w:r>
    </w:p>
    <w:p>
      <w:r>
        <w:t xml:space="preserve">anschlag auf das "Asia-Haus" in J. in die Verantwortung dieser Gruppe</w:t>
      </w:r>
    </w:p>
    <w:p>
      <w:r>
        <w:t xml:space="preserve">fällt. Denn zum einen ist kein Beleg für die Beteiligung des Gründers</w:t>
      </w:r>
    </w:p>
    <w:p>
      <w:r>
        <w:t xml:space="preserve">F.</w:t>
      </w:r>
    </w:p>
    <w:p>
      <w:r>
        <w:t xml:space="preserve">vorhanden und zum anderen gehören nur drei der fünf angeklagten Tatbe-</w:t>
      </w:r>
    </w:p>
    <w:p>
      <w:r>
        <w:t xml:space="preserve">teiligten dieser Gruppe an. Die Mitnahme von Gruppenexternen bei der Aus-</w:t>
      </w:r>
    </w:p>
    <w:p>
      <w:r>
        <w:t xml:space="preserve">übung einer solchen Tat, insbesondere des nicht der rechtsextremen Jugends-</w:t>
      </w:r>
    </w:p>
    <w:p>
      <w:r>
        <w:t xml:space="preserve">zene zugehörigen Angeklagten Z. und des an der Tat selbst nicht be-</w:t>
      </w:r>
    </w:p>
    <w:p>
      <w:r>
        <w:t xml:space="preserve">teiligten Jugendlichen R. , spricht gegen eine dem "Nationalen Wi-</w:t>
      </w:r>
    </w:p>
    <w:p>
      <w:r>
        <w:t xml:space="preserve">derstand Kreis Bitterfeld" zuzurechnende Straftat. Dem in der Beschwerdebe-</w:t>
      </w:r>
    </w:p>
    <w:p>
      <w:r>
        <w:t xml:space="preserve">gründung angesprochenen Aspekt der Vielzahl von Tätern kann angesichts</w:t>
      </w:r>
    </w:p>
    <w:p>
      <w:r>
        <w:t xml:space="preserve">des Umstandes, daß am Tatort nur zwei von ihnen den unmittelbaren Angriff</w:t>
      </w:r>
    </w:p>
    <w:p>
      <w:r>
        <w:t xml:space="preserve">ausgeübt und die anderen sich mehr oder weniger im Hintergrund gehalten</w:t>
      </w:r>
    </w:p>
    <w:p>
      <w:r>
        <w:t xml:space="preserve">haben, kein entscheidendes Gewicht zukommen.</w:t>
      </w:r>
    </w:p>
    <w:p>
      <w:r>
        <w:t xml:space="preserve">Das Oberlandesgericht hat schließlich zu Recht bei der Bewertung des</w:t>
      </w:r>
    </w:p>
    <w:p>
      <w:r>
        <w:t xml:space="preserve">Falles mitberücksichtigt, daß es sich bei den Angeklagten überwiegend um Ju-</w:t>
      </w:r>
    </w:p>
    <w:p>
      <w:r>
        <w:t xml:space="preserve">gendliche und Heranwachsende handelt, so daß die Annahme der Landeszu-</w:t>
      </w:r>
    </w:p>
    <w:p>
      <w:r>
        <w:t xml:space="preserve">ständigkeit die Möglichkeit der Aburteilung durch ein spezielles Jugendgericht</w:t>
      </w:r>
    </w:p>
    <w:p>
      <w:r>
        <w:t xml:space="preserve">eröffnet. Soweit der Generalbundesanwalt auf den vom Gesetzgeber in § 102</w:t>
      </w:r>
    </w:p>
    <w:p>
      <w:r>
        <w:t xml:space="preserve">Satz 1, § 112 Satz 1 JGG geregelte Vorrang der Staatsschutzsenate der</w:t>
      </w:r>
    </w:p>
    <w:p>
      <w:r>
        <w:t xml:space="preserve">Oberlandesgerichte gegenüber den Jugendgerichten hinweist, ist zu bemer-</w:t>
      </w:r>
    </w:p>
    <w:p>
      <w:r>
        <w:t xml:space="preserve">ken, daß dieser erst eingreift, wenn die Zuständigkeit des Oberlandesgerichts</w:t>
      </w:r>
    </w:p>
    <w:p>
      <w:r>
        <w:t xml:space="preserve">feststeht. Bei der zuvor zu entscheidenden Frage, ob die besondere Bedeu-</w:t>
      </w:r>
    </w:p>
    <w:p>
      <w:r>
        <w:t xml:space="preserve">tung des Falles im Sinne des § 120 Abs. 2 Satz 1 Nr. 3 GVG gegeben ist, kann</w:t>
      </w:r>
    </w:p>
    <w:p>
      <w:r>
        <w:t xml:space="preserve">dagegen der Umstand, daß sich das Verfahren gegen Jugendliche und Heran-</w:t>
      </w:r>
    </w:p>
    <w:p>
      <w:r>
        <w:t xml:space="preserve">wachsende richtet und die Intentionen des Jugendgerichtsgesetzes eher für die</w:t>
      </w:r>
    </w:p>
    <w:p>
      <w:r>
        <w:t xml:space="preserve">Zuständigkeit einer Jugendkammer sprechen, durchaus mitberücksichtigt wer-</w:t>
      </w:r>
    </w:p>
    <w:p>
      <w:r>
        <w:t xml:space="preserve">den (BGH NJW 2001, 1359, 1364; vgl. auch Eisenberg NStZ 1996, 263 ff.).</w:t>
      </w:r>
    </w:p>
    <w:p>
      <w:r>
        <w:t xml:space="preserve">Eine Gesamtabwägung ergibt, daß zwar einige Gesichtspunkte für eine</w:t>
      </w:r>
    </w:p>
    <w:p>
      <w:r>
        <w:t xml:space="preserve">herausgehobene Bedeutung sprechen, daß diesen jedoch wesentlich mehr und</w:t>
      </w:r>
    </w:p>
    <w:p>
      <w:r>
        <w:t xml:space="preserve">gewichtigere Aspekte gegenüberstehen, die eine Einordnung des Falles im</w:t>
      </w:r>
    </w:p>
    <w:p>
      <w:r>
        <w:t xml:space="preserve">Vergleich zu sonstigen ausländerfeindlichen Brandanschlägen als eher durch-</w:t>
      </w:r>
    </w:p>
    <w:p>
      <w:r>
        <w:t xml:space="preserve">schnittlich rechtfertigen.</w:t>
      </w:r>
    </w:p>
    <w:p>
      <w:r>
        <w:t xml:space="preserve">Tolksdorf Miebach Winkler</w:t>
      </w:r>
    </w:p>
    <w:p>
      <w:r>
        <w:t xml:space="preserve">Pfister von Lienen</w:t>
      </w:r>
    </w:p>
    <w:p>
      <w:r>
        <w:rPr>
          <w:color w:val="555555"/>
          <w:sz w:val="17"/>
        </w:rPr>
        <w:t xml:space="preserve">Zitiervorschlag: BGH, Beschluß vom 21.03.2002 – StB 4/02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Dieses Dokument: https://recht.nulegal.eu/rechtsprechung/bgh/2002-03-21/stb-4-02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